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DD" w:rsidRPr="00C8624E" w:rsidRDefault="009A2BC0" w:rsidP="004B0FC2">
      <w:pPr>
        <w:pStyle w:val="Papertitle"/>
        <w:spacing w:after="240" w:line="360" w:lineRule="auto"/>
        <w:rPr>
          <w:sz w:val="32"/>
          <w:lang w:val="en-GB"/>
        </w:rPr>
      </w:pPr>
      <w:r w:rsidRPr="009A2BC0">
        <w:rPr>
          <w:sz w:val="32"/>
          <w:lang w:val="en-GB"/>
        </w:rPr>
        <w:t xml:space="preserve">An R package for </w:t>
      </w:r>
      <w:r w:rsidR="001B69A9">
        <w:rPr>
          <w:sz w:val="32"/>
          <w:lang w:val="en-GB"/>
        </w:rPr>
        <w:t>more reliable</w:t>
      </w:r>
      <w:r w:rsidRPr="009A2BC0">
        <w:rPr>
          <w:sz w:val="32"/>
          <w:lang w:val="en-GB"/>
        </w:rPr>
        <w:t xml:space="preserve"> </w:t>
      </w:r>
      <w:r w:rsidR="001B69A9">
        <w:rPr>
          <w:sz w:val="32"/>
          <w:lang w:val="en-GB"/>
        </w:rPr>
        <w:t>estimates</w:t>
      </w:r>
      <w:r w:rsidRPr="009A2BC0">
        <w:rPr>
          <w:sz w:val="32"/>
          <w:lang w:val="en-GB"/>
        </w:rPr>
        <w:t xml:space="preserve"> o</w:t>
      </w:r>
      <w:r>
        <w:rPr>
          <w:sz w:val="32"/>
          <w:lang w:val="en-GB"/>
        </w:rPr>
        <w:t>f</w:t>
      </w:r>
      <w:r w:rsidRPr="009A2BC0">
        <w:rPr>
          <w:sz w:val="32"/>
          <w:lang w:val="en-GB"/>
        </w:rPr>
        <w:t xml:space="preserve"> Residential  Segregation </w:t>
      </w:r>
    </w:p>
    <w:p w:rsidR="00AB54F1" w:rsidRPr="006E48DD" w:rsidRDefault="009A2BC0" w:rsidP="004B0FC2">
      <w:pPr>
        <w:pStyle w:val="Papertitle"/>
        <w:spacing w:after="240" w:line="360" w:lineRule="auto"/>
        <w:rPr>
          <w:i/>
          <w:sz w:val="28"/>
        </w:rPr>
      </w:pPr>
      <w:r>
        <w:rPr>
          <w:i/>
          <w:noProof/>
          <w:sz w:val="28"/>
        </w:rPr>
        <w:t>U</w:t>
      </w:r>
      <w:r w:rsidRPr="009A2BC0">
        <w:rPr>
          <w:i/>
          <w:noProof/>
          <w:sz w:val="28"/>
        </w:rPr>
        <w:t xml:space="preserve">n </w:t>
      </w:r>
      <w:r w:rsidRPr="00C36678">
        <w:rPr>
          <w:i/>
          <w:noProof/>
          <w:sz w:val="28"/>
        </w:rPr>
        <w:t>paccetto</w:t>
      </w:r>
      <w:r w:rsidRPr="009A2BC0">
        <w:rPr>
          <w:i/>
          <w:noProof/>
          <w:sz w:val="28"/>
        </w:rPr>
        <w:t xml:space="preserve"> R per </w:t>
      </w:r>
      <w:r w:rsidR="001B69A9">
        <w:rPr>
          <w:i/>
          <w:noProof/>
          <w:sz w:val="28"/>
        </w:rPr>
        <w:t xml:space="preserve">stime piú </w:t>
      </w:r>
      <w:r w:rsidRPr="00C36678">
        <w:rPr>
          <w:i/>
          <w:noProof/>
          <w:sz w:val="28"/>
        </w:rPr>
        <w:t>attendibili</w:t>
      </w:r>
      <w:r w:rsidRPr="009A2BC0">
        <w:rPr>
          <w:i/>
          <w:noProof/>
          <w:sz w:val="28"/>
        </w:rPr>
        <w:t xml:space="preserve"> </w:t>
      </w:r>
      <w:r w:rsidRPr="00C36678">
        <w:rPr>
          <w:i/>
          <w:noProof/>
          <w:sz w:val="28"/>
        </w:rPr>
        <w:t>sul</w:t>
      </w:r>
      <w:r>
        <w:rPr>
          <w:i/>
          <w:noProof/>
          <w:sz w:val="28"/>
        </w:rPr>
        <w:t xml:space="preserve"> </w:t>
      </w:r>
      <w:r w:rsidRPr="00C36678">
        <w:rPr>
          <w:i/>
          <w:noProof/>
          <w:sz w:val="28"/>
        </w:rPr>
        <w:t>livello</w:t>
      </w:r>
      <w:r>
        <w:rPr>
          <w:i/>
          <w:noProof/>
          <w:sz w:val="28"/>
        </w:rPr>
        <w:t xml:space="preserve"> di</w:t>
      </w:r>
      <w:r w:rsidRPr="009A2BC0">
        <w:rPr>
          <w:i/>
          <w:noProof/>
          <w:sz w:val="28"/>
        </w:rPr>
        <w:t xml:space="preserve"> </w:t>
      </w:r>
      <w:r w:rsidRPr="00C36678">
        <w:rPr>
          <w:i/>
          <w:noProof/>
          <w:sz w:val="28"/>
        </w:rPr>
        <w:t>segregazione</w:t>
      </w:r>
      <w:r w:rsidRPr="009A2BC0">
        <w:rPr>
          <w:i/>
          <w:noProof/>
          <w:sz w:val="28"/>
        </w:rPr>
        <w:t xml:space="preserve"> </w:t>
      </w:r>
      <w:r w:rsidRPr="00C36678">
        <w:rPr>
          <w:i/>
          <w:noProof/>
          <w:sz w:val="28"/>
        </w:rPr>
        <w:t>residenziale</w:t>
      </w:r>
      <w:r w:rsidR="00FF312F">
        <w:rPr>
          <w:i/>
          <w:sz w:val="28"/>
        </w:rPr>
        <w:t xml:space="preserve"> </w:t>
      </w:r>
    </w:p>
    <w:p w:rsidR="00A149DC" w:rsidRPr="00C8624E" w:rsidRDefault="00FF312F" w:rsidP="005D19F1">
      <w:pPr>
        <w:pStyle w:val="Author"/>
        <w:spacing w:after="2160"/>
        <w:rPr>
          <w:b/>
          <w:bCs/>
          <w:sz w:val="20"/>
          <w:szCs w:val="20"/>
          <w:lang w:val="en-US"/>
        </w:rPr>
      </w:pPr>
      <w:r w:rsidRPr="00C8624E">
        <w:rPr>
          <w:sz w:val="20"/>
          <w:szCs w:val="20"/>
          <w:lang w:val="en-US"/>
        </w:rPr>
        <w:t>Angelo Mazza</w:t>
      </w:r>
      <w:r w:rsidR="00E23C9B" w:rsidRPr="00C8624E">
        <w:rPr>
          <w:noProof/>
          <w:sz w:val="20"/>
          <w:szCs w:val="20"/>
          <w:lang w:val="en-US"/>
        </w:rPr>
        <w:t xml:space="preserve"> and</w:t>
      </w:r>
      <w:r w:rsidR="006E48DD" w:rsidRPr="00C8624E">
        <w:rPr>
          <w:sz w:val="20"/>
          <w:szCs w:val="20"/>
          <w:lang w:val="en-US"/>
        </w:rPr>
        <w:t xml:space="preserve"> </w:t>
      </w:r>
      <w:r w:rsidR="008809B7">
        <w:rPr>
          <w:sz w:val="20"/>
          <w:szCs w:val="20"/>
          <w:lang w:val="en-US"/>
        </w:rPr>
        <w:t>Antonio Punzo</w:t>
      </w:r>
    </w:p>
    <w:p w:rsidR="008809B7" w:rsidRPr="008809B7" w:rsidRDefault="00A149DC" w:rsidP="008809B7">
      <w:pPr>
        <w:pStyle w:val="Maintext"/>
        <w:rPr>
          <w:sz w:val="20"/>
        </w:rPr>
      </w:pPr>
      <w:r w:rsidRPr="00C8624E">
        <w:rPr>
          <w:b/>
          <w:bCs/>
          <w:sz w:val="20"/>
        </w:rPr>
        <w:t>Abstract</w:t>
      </w:r>
      <w:r w:rsidR="009C19FC" w:rsidRPr="00C8624E">
        <w:rPr>
          <w:b/>
          <w:bCs/>
          <w:sz w:val="20"/>
        </w:rPr>
        <w:t xml:space="preserve"> </w:t>
      </w:r>
      <w:r w:rsidR="008809B7" w:rsidRPr="008809B7">
        <w:rPr>
          <w:sz w:val="20"/>
        </w:rPr>
        <w:t>The dissimilarity index is widely used to evaluate residential segregation</w:t>
      </w:r>
      <w:r w:rsidR="00B155DE">
        <w:rPr>
          <w:sz w:val="20"/>
        </w:rPr>
        <w:t>, although</w:t>
      </w:r>
      <w:r w:rsidR="008809B7" w:rsidRPr="008809B7">
        <w:rPr>
          <w:sz w:val="20"/>
        </w:rPr>
        <w:t xml:space="preserve"> </w:t>
      </w:r>
      <w:r w:rsidR="00B155DE">
        <w:rPr>
          <w:sz w:val="20"/>
        </w:rPr>
        <w:t>t</w:t>
      </w:r>
      <w:r w:rsidR="008809B7" w:rsidRPr="008809B7">
        <w:rPr>
          <w:sz w:val="20"/>
        </w:rPr>
        <w:t>here is</w:t>
      </w:r>
      <w:r w:rsidR="008E2779">
        <w:rPr>
          <w:sz w:val="20"/>
        </w:rPr>
        <w:t xml:space="preserve"> a</w:t>
      </w:r>
      <w:r w:rsidR="008809B7" w:rsidRPr="008809B7">
        <w:rPr>
          <w:sz w:val="20"/>
        </w:rPr>
        <w:t xml:space="preserve"> </w:t>
      </w:r>
      <w:r w:rsidR="008809B7" w:rsidRPr="008E2779">
        <w:rPr>
          <w:noProof/>
          <w:sz w:val="20"/>
        </w:rPr>
        <w:t>widespread</w:t>
      </w:r>
      <w:r w:rsidR="008809B7" w:rsidRPr="008809B7">
        <w:rPr>
          <w:sz w:val="20"/>
        </w:rPr>
        <w:t xml:space="preserve"> awareness that this index is inherently subject to an upward bias and, under certain conditions, can be highly misleading.</w:t>
      </w:r>
      <w:r w:rsidR="00FF654D">
        <w:rPr>
          <w:sz w:val="20"/>
        </w:rPr>
        <w:t xml:space="preserve"> </w:t>
      </w:r>
      <w:r w:rsidR="008809B7" w:rsidRPr="008809B7">
        <w:rPr>
          <w:sz w:val="20"/>
        </w:rPr>
        <w:t>Common strategies used in literature to deal with the index bias rely on the use of informal rules of thumb, which at least have the side effect of restricting the scope of segregation studies.</w:t>
      </w:r>
    </w:p>
    <w:p w:rsidR="00A149DC" w:rsidRPr="00C8624E" w:rsidRDefault="008809B7" w:rsidP="008809B7">
      <w:pPr>
        <w:pStyle w:val="Maintext"/>
        <w:rPr>
          <w:sz w:val="20"/>
          <w:lang w:val="en-US"/>
        </w:rPr>
      </w:pPr>
      <w:r w:rsidRPr="008809B7">
        <w:rPr>
          <w:sz w:val="20"/>
        </w:rPr>
        <w:t xml:space="preserve">Bias correction methods have been proposed, but they require the computation of the sampling distribution of the index through computation-intensive techniques and the lack of user-friendly computer programs has affected their adoption. </w:t>
      </w:r>
      <w:r w:rsidR="00FF654D">
        <w:rPr>
          <w:sz w:val="20"/>
        </w:rPr>
        <w:t>Hence, w</w:t>
      </w:r>
      <w:r w:rsidRPr="008809B7">
        <w:rPr>
          <w:sz w:val="20"/>
        </w:rPr>
        <w:t>e introduce an R package that allows for the computation of bias corrections based on bootstrap, iterated bootstrap, grouped jackknife, and on a technique proposed by the authors. Confidence intervals and tests for absence of segregation are implemented.</w:t>
      </w:r>
      <w:r w:rsidR="00253E23" w:rsidRPr="00C8624E">
        <w:rPr>
          <w:i/>
          <w:sz w:val="20"/>
          <w:lang w:val="en-US"/>
        </w:rPr>
        <w:t xml:space="preserve"> </w:t>
      </w:r>
    </w:p>
    <w:p w:rsidR="00114064" w:rsidRPr="00C8624E" w:rsidRDefault="009C19FC" w:rsidP="00C36678">
      <w:pPr>
        <w:pStyle w:val="Maintext"/>
        <w:rPr>
          <w:sz w:val="20"/>
          <w:lang w:val="it-IT"/>
        </w:rPr>
      </w:pPr>
      <w:r w:rsidRPr="00C8624E">
        <w:rPr>
          <w:b/>
          <w:bCs/>
          <w:sz w:val="20"/>
          <w:lang w:val="it-IT"/>
        </w:rPr>
        <w:t xml:space="preserve">Abstract </w:t>
      </w:r>
      <w:r w:rsidR="00C36678" w:rsidRPr="00C36678">
        <w:rPr>
          <w:i/>
          <w:noProof/>
          <w:sz w:val="20"/>
          <w:lang w:val="it-IT"/>
        </w:rPr>
        <w:t xml:space="preserve">L'indice di dissimilarità è ampiamente utilizzato per valutare la segregazione residenziale, sebbene sia </w:t>
      </w:r>
      <w:r w:rsidR="00C36678">
        <w:rPr>
          <w:i/>
          <w:noProof/>
          <w:sz w:val="20"/>
          <w:lang w:val="it-IT"/>
        </w:rPr>
        <w:t xml:space="preserve">noto da tempo </w:t>
      </w:r>
      <w:r w:rsidR="00C36678" w:rsidRPr="00C36678">
        <w:rPr>
          <w:i/>
          <w:noProof/>
          <w:sz w:val="20"/>
          <w:lang w:val="it-IT"/>
        </w:rPr>
        <w:t xml:space="preserve">che </w:t>
      </w:r>
      <w:r w:rsidR="00C36678">
        <w:rPr>
          <w:i/>
          <w:noProof/>
          <w:sz w:val="20"/>
          <w:lang w:val="it-IT"/>
        </w:rPr>
        <w:t>questo tenda a sovrastimare il reale livello di segregazione</w:t>
      </w:r>
      <w:r w:rsidR="00C36678" w:rsidRPr="00C36678">
        <w:rPr>
          <w:i/>
          <w:noProof/>
          <w:sz w:val="20"/>
          <w:lang w:val="it-IT"/>
        </w:rPr>
        <w:t>. Le strategie</w:t>
      </w:r>
      <w:r w:rsidR="00C36678">
        <w:rPr>
          <w:i/>
          <w:noProof/>
          <w:sz w:val="20"/>
          <w:lang w:val="it-IT"/>
        </w:rPr>
        <w:t xml:space="preserve"> comunemente </w:t>
      </w:r>
      <w:r w:rsidR="006B0A32">
        <w:rPr>
          <w:i/>
          <w:noProof/>
          <w:sz w:val="20"/>
          <w:lang w:val="it-IT"/>
        </w:rPr>
        <w:t>seguite</w:t>
      </w:r>
      <w:r w:rsidR="00C36678" w:rsidRPr="00C36678">
        <w:rPr>
          <w:i/>
          <w:noProof/>
          <w:sz w:val="20"/>
          <w:lang w:val="it-IT"/>
        </w:rPr>
        <w:t xml:space="preserve"> in letteratura per </w:t>
      </w:r>
      <w:r w:rsidR="00C36678">
        <w:rPr>
          <w:i/>
          <w:noProof/>
          <w:sz w:val="20"/>
          <w:lang w:val="it-IT"/>
        </w:rPr>
        <w:t>limitare la distorsione dell’indice si basano sull'impiego</w:t>
      </w:r>
      <w:r w:rsidR="00C36678" w:rsidRPr="00C36678">
        <w:rPr>
          <w:i/>
          <w:noProof/>
          <w:sz w:val="20"/>
          <w:lang w:val="it-IT"/>
        </w:rPr>
        <w:t xml:space="preserve"> di regole empiriche</w:t>
      </w:r>
      <w:r w:rsidR="006B0A32">
        <w:rPr>
          <w:i/>
          <w:noProof/>
          <w:sz w:val="20"/>
          <w:lang w:val="it-IT"/>
        </w:rPr>
        <w:t>, malgrado da tempo siano</w:t>
      </w:r>
      <w:r w:rsidR="00C36678" w:rsidRPr="00C36678">
        <w:rPr>
          <w:i/>
          <w:noProof/>
          <w:sz w:val="20"/>
          <w:lang w:val="it-IT"/>
        </w:rPr>
        <w:t xml:space="preserve"> stati proposti metodi </w:t>
      </w:r>
      <w:r w:rsidR="006B0A32">
        <w:rPr>
          <w:i/>
          <w:noProof/>
          <w:sz w:val="20"/>
          <w:lang w:val="it-IT"/>
        </w:rPr>
        <w:t>formali per la</w:t>
      </w:r>
      <w:r w:rsidR="00C36678" w:rsidRPr="00C36678">
        <w:rPr>
          <w:i/>
          <w:noProof/>
          <w:sz w:val="20"/>
          <w:lang w:val="it-IT"/>
        </w:rPr>
        <w:t xml:space="preserve"> </w:t>
      </w:r>
      <w:r w:rsidR="006B0A32">
        <w:rPr>
          <w:i/>
          <w:noProof/>
          <w:sz w:val="20"/>
          <w:lang w:val="it-IT"/>
        </w:rPr>
        <w:t xml:space="preserve">riduzione del bias. Tali metodi, tuttavia, </w:t>
      </w:r>
      <w:r w:rsidR="00C36678" w:rsidRPr="00C36678">
        <w:rPr>
          <w:i/>
          <w:noProof/>
          <w:sz w:val="20"/>
          <w:lang w:val="it-IT"/>
        </w:rPr>
        <w:t xml:space="preserve">richiedono il calcolo della distribuzione campionaria dell'indice attraverso tecniche </w:t>
      </w:r>
      <w:r w:rsidR="006B0A32">
        <w:rPr>
          <w:i/>
          <w:noProof/>
          <w:sz w:val="20"/>
          <w:lang w:val="it-IT"/>
        </w:rPr>
        <w:t>computazionali,</w:t>
      </w:r>
      <w:r w:rsidR="00C36678" w:rsidRPr="00C36678">
        <w:rPr>
          <w:i/>
          <w:noProof/>
          <w:sz w:val="20"/>
          <w:lang w:val="it-IT"/>
        </w:rPr>
        <w:t xml:space="preserve"> e la mancanza di programmi informatici user-friendly ne ha </w:t>
      </w:r>
      <w:r w:rsidR="006B0A32">
        <w:rPr>
          <w:i/>
          <w:noProof/>
          <w:sz w:val="20"/>
          <w:lang w:val="it-IT"/>
        </w:rPr>
        <w:t>ristretto</w:t>
      </w:r>
      <w:r w:rsidR="00C36678" w:rsidRPr="00C36678">
        <w:rPr>
          <w:i/>
          <w:noProof/>
          <w:sz w:val="20"/>
          <w:lang w:val="it-IT"/>
        </w:rPr>
        <w:t xml:space="preserve"> l'adozione. </w:t>
      </w:r>
      <w:r w:rsidR="006B0A32">
        <w:rPr>
          <w:i/>
          <w:noProof/>
          <w:sz w:val="20"/>
          <w:lang w:val="it-IT"/>
        </w:rPr>
        <w:t>Per ovviare a questa mancanza</w:t>
      </w:r>
      <w:r w:rsidR="00C36678" w:rsidRPr="00C36678">
        <w:rPr>
          <w:i/>
          <w:noProof/>
          <w:sz w:val="20"/>
          <w:lang w:val="it-IT"/>
        </w:rPr>
        <w:t xml:space="preserve">, </w:t>
      </w:r>
      <w:r w:rsidR="006B0A32">
        <w:rPr>
          <w:i/>
          <w:noProof/>
          <w:sz w:val="20"/>
          <w:lang w:val="it-IT"/>
        </w:rPr>
        <w:t xml:space="preserve">noi proponiamo </w:t>
      </w:r>
      <w:r w:rsidR="00C36678" w:rsidRPr="00C36678">
        <w:rPr>
          <w:i/>
          <w:noProof/>
          <w:sz w:val="20"/>
          <w:lang w:val="it-IT"/>
        </w:rPr>
        <w:t xml:space="preserve">un pacchetto R che </w:t>
      </w:r>
      <w:r w:rsidR="006B0A32">
        <w:rPr>
          <w:i/>
          <w:noProof/>
          <w:sz w:val="20"/>
          <w:lang w:val="it-IT"/>
        </w:rPr>
        <w:t xml:space="preserve">implementa diverse tecniche di riduzione del </w:t>
      </w:r>
      <w:r w:rsidR="00C36678" w:rsidRPr="00C36678">
        <w:rPr>
          <w:i/>
          <w:noProof/>
          <w:sz w:val="20"/>
          <w:lang w:val="it-IT"/>
        </w:rPr>
        <w:t>bias</w:t>
      </w:r>
      <w:r w:rsidR="006B0A32">
        <w:rPr>
          <w:i/>
          <w:noProof/>
          <w:sz w:val="20"/>
          <w:lang w:val="it-IT"/>
        </w:rPr>
        <w:t xml:space="preserve"> dell’indice di dissimilarità,</w:t>
      </w:r>
      <w:r w:rsidR="00C36678" w:rsidRPr="00C36678">
        <w:rPr>
          <w:i/>
          <w:noProof/>
          <w:sz w:val="20"/>
          <w:lang w:val="it-IT"/>
        </w:rPr>
        <w:t xml:space="preserve"> basate su bootstrap, </w:t>
      </w:r>
      <w:r w:rsidR="006B0A32" w:rsidRPr="006B0A32">
        <w:rPr>
          <w:i/>
          <w:noProof/>
          <w:sz w:val="20"/>
          <w:lang w:val="it-IT"/>
        </w:rPr>
        <w:t xml:space="preserve">iterated </w:t>
      </w:r>
      <w:r w:rsidR="00C36678" w:rsidRPr="00C36678">
        <w:rPr>
          <w:i/>
          <w:noProof/>
          <w:sz w:val="20"/>
          <w:lang w:val="it-IT"/>
        </w:rPr>
        <w:t xml:space="preserve">bootstrap, </w:t>
      </w:r>
      <w:r w:rsidR="006B0A32" w:rsidRPr="006B0A32">
        <w:rPr>
          <w:i/>
          <w:noProof/>
          <w:sz w:val="20"/>
          <w:lang w:val="it-IT"/>
        </w:rPr>
        <w:t xml:space="preserve">grouped </w:t>
      </w:r>
      <w:r w:rsidR="00C36678" w:rsidRPr="00C36678">
        <w:rPr>
          <w:i/>
          <w:noProof/>
          <w:sz w:val="20"/>
          <w:lang w:val="it-IT"/>
        </w:rPr>
        <w:t xml:space="preserve">jackknife raggruppato e su una tecnica proposta dagli </w:t>
      </w:r>
      <w:r w:rsidR="006B0A32">
        <w:rPr>
          <w:i/>
          <w:noProof/>
          <w:sz w:val="20"/>
          <w:lang w:val="it-IT"/>
        </w:rPr>
        <w:t xml:space="preserve">stessi </w:t>
      </w:r>
      <w:r w:rsidR="00C36678" w:rsidRPr="00C36678">
        <w:rPr>
          <w:i/>
          <w:noProof/>
          <w:sz w:val="20"/>
          <w:lang w:val="it-IT"/>
        </w:rPr>
        <w:t>autori. Vengono implementati</w:t>
      </w:r>
      <w:r w:rsidR="006B0A32">
        <w:rPr>
          <w:i/>
          <w:noProof/>
          <w:sz w:val="20"/>
          <w:lang w:val="it-IT"/>
        </w:rPr>
        <w:t xml:space="preserve"> anche</w:t>
      </w:r>
      <w:r w:rsidR="00C36678" w:rsidRPr="00C36678">
        <w:rPr>
          <w:i/>
          <w:noProof/>
          <w:sz w:val="20"/>
          <w:lang w:val="it-IT"/>
        </w:rPr>
        <w:t xml:space="preserve"> intervalli di confidenza e test per l'assenza di segregazione.</w:t>
      </w:r>
    </w:p>
    <w:p w:rsidR="00114064" w:rsidRPr="008809B7" w:rsidRDefault="00114064" w:rsidP="008809B7">
      <w:pPr>
        <w:pStyle w:val="Maintext"/>
        <w:rPr>
          <w:sz w:val="20"/>
        </w:rPr>
      </w:pPr>
      <w:r w:rsidRPr="00C8624E">
        <w:rPr>
          <w:b/>
          <w:noProof/>
          <w:sz w:val="20"/>
        </w:rPr>
        <w:t>Keywords</w:t>
      </w:r>
      <w:r w:rsidRPr="00C8624E">
        <w:rPr>
          <w:b/>
          <w:sz w:val="20"/>
        </w:rPr>
        <w:t xml:space="preserve">: </w:t>
      </w:r>
      <w:r w:rsidR="008809B7">
        <w:rPr>
          <w:sz w:val="20"/>
        </w:rPr>
        <w:t>residential segregation</w:t>
      </w:r>
      <w:r w:rsidRPr="00C8624E">
        <w:rPr>
          <w:sz w:val="20"/>
        </w:rPr>
        <w:t xml:space="preserve">, </w:t>
      </w:r>
      <w:r w:rsidR="008809B7" w:rsidRPr="008809B7">
        <w:rPr>
          <w:sz w:val="20"/>
        </w:rPr>
        <w:t>bias correction</w:t>
      </w:r>
      <w:r w:rsidR="00A059F6" w:rsidRPr="00C8624E">
        <w:rPr>
          <w:sz w:val="20"/>
        </w:rPr>
        <w:t xml:space="preserve">, </w:t>
      </w:r>
      <w:r w:rsidR="008809B7" w:rsidRPr="008809B7">
        <w:rPr>
          <w:sz w:val="20"/>
        </w:rPr>
        <w:t>dissimilarity index</w:t>
      </w:r>
    </w:p>
    <w:p w:rsidR="00A149DC" w:rsidRPr="00C8624E" w:rsidRDefault="005A08BB">
      <w:pPr>
        <w:pStyle w:val="SectionHeading"/>
        <w:tabs>
          <w:tab w:val="left" w:pos="284"/>
        </w:tabs>
        <w:ind w:left="284" w:hanging="284"/>
      </w:pPr>
      <w:r w:rsidRPr="00C8624E">
        <w:lastRenderedPageBreak/>
        <w:t>Introduction</w:t>
      </w:r>
    </w:p>
    <w:p w:rsidR="008E2779" w:rsidRPr="008E2779" w:rsidRDefault="008E2779" w:rsidP="008E2779">
      <w:pPr>
        <w:pStyle w:val="Maintext"/>
        <w:ind w:firstLine="284"/>
        <w:rPr>
          <w:rFonts w:eastAsia="Arial"/>
          <w:sz w:val="20"/>
        </w:rPr>
      </w:pPr>
      <w:r w:rsidRPr="008E2779">
        <w:rPr>
          <w:rFonts w:eastAsia="Arial"/>
          <w:sz w:val="20"/>
        </w:rPr>
        <w:t xml:space="preserve">The segregation of demographic groups, often associated </w:t>
      </w:r>
      <w:r>
        <w:rPr>
          <w:rFonts w:eastAsia="Arial"/>
          <w:sz w:val="20"/>
        </w:rPr>
        <w:t>with</w:t>
      </w:r>
      <w:r w:rsidRPr="008E2779">
        <w:rPr>
          <w:rFonts w:eastAsia="Arial"/>
          <w:sz w:val="20"/>
        </w:rPr>
        <w:t xml:space="preserve"> ethnicity, age or gender, is an important area of research among sociologists, demographers</w:t>
      </w:r>
      <w:r>
        <w:rPr>
          <w:rFonts w:eastAsia="Arial"/>
          <w:sz w:val="20"/>
        </w:rPr>
        <w:t>,</w:t>
      </w:r>
      <w:r w:rsidRPr="008E2779">
        <w:rPr>
          <w:rFonts w:eastAsia="Arial"/>
          <w:sz w:val="20"/>
        </w:rPr>
        <w:t xml:space="preserve"> </w:t>
      </w:r>
      <w:r w:rsidRPr="008E2779">
        <w:rPr>
          <w:rFonts w:eastAsia="Arial"/>
          <w:noProof/>
          <w:sz w:val="20"/>
        </w:rPr>
        <w:t>and</w:t>
      </w:r>
      <w:r w:rsidRPr="008E2779">
        <w:rPr>
          <w:rFonts w:eastAsia="Arial"/>
          <w:sz w:val="20"/>
        </w:rPr>
        <w:t xml:space="preserve"> other social scientists. The evaluation of segregation within a population is typically based on the proportions of demographic groups belonging to some kind of allocation units, such as residential areas, workplaces,</w:t>
      </w:r>
      <w:r>
        <w:rPr>
          <w:rFonts w:eastAsia="Arial"/>
          <w:sz w:val="20"/>
        </w:rPr>
        <w:t xml:space="preserve"> or schools (Mazza and Punzo, 2015</w:t>
      </w:r>
      <w:r w:rsidRPr="008E2779">
        <w:rPr>
          <w:rFonts w:eastAsia="Arial"/>
          <w:sz w:val="20"/>
        </w:rPr>
        <w:t>).</w:t>
      </w:r>
    </w:p>
    <w:p w:rsidR="008E2779" w:rsidRPr="008E2779" w:rsidRDefault="008E2779" w:rsidP="008E2779">
      <w:pPr>
        <w:pStyle w:val="Maintext"/>
        <w:ind w:firstLine="284"/>
        <w:rPr>
          <w:rFonts w:eastAsia="Arial"/>
          <w:sz w:val="20"/>
        </w:rPr>
      </w:pPr>
      <w:r w:rsidRPr="008E2779">
        <w:rPr>
          <w:rFonts w:eastAsia="Arial"/>
          <w:sz w:val="20"/>
        </w:rPr>
        <w:t xml:space="preserve">Many segregation indexes have been suggested, with different formulations denoting different definitions of segregation (see Massey and Denton, 1988 for an overview). Among these, the dissimilarity index </w:t>
      </w:r>
      <m:oMath>
        <m:r>
          <w:rPr>
            <w:rFonts w:ascii="Cambria Math" w:eastAsiaTheme="minorEastAsia" w:hAnsi="Cambria Math"/>
            <w:color w:val="000000" w:themeColor="text1"/>
            <w:kern w:val="24"/>
            <w:sz w:val="24"/>
            <w:szCs w:val="40"/>
          </w:rPr>
          <m:t>D</m:t>
        </m:r>
      </m:oMath>
      <w:r w:rsidRPr="008E2779">
        <w:rPr>
          <w:rFonts w:eastAsia="Arial"/>
          <w:sz w:val="20"/>
        </w:rPr>
        <w:t xml:space="preserve">, proposed by Duncan and Duncan (1955), is widely used to assess the differential distribution of two groups among allocation units. </w:t>
      </w:r>
    </w:p>
    <w:p w:rsidR="00FA1D8A" w:rsidRDefault="008E2779" w:rsidP="008E2779">
      <w:pPr>
        <w:pStyle w:val="Maintext"/>
        <w:ind w:firstLine="284"/>
        <w:rPr>
          <w:rFonts w:eastAsia="Arial"/>
          <w:sz w:val="20"/>
        </w:rPr>
      </w:pPr>
      <w:r>
        <w:rPr>
          <w:rFonts w:eastAsia="Arial"/>
          <w:sz w:val="20"/>
        </w:rPr>
        <w:t>T</w:t>
      </w:r>
      <w:r w:rsidRPr="008E2779">
        <w:rPr>
          <w:rFonts w:eastAsia="Arial"/>
          <w:sz w:val="20"/>
        </w:rPr>
        <w:t xml:space="preserve">he observed </w:t>
      </w:r>
      <w:r>
        <w:rPr>
          <w:rFonts w:eastAsia="Arial"/>
          <w:sz w:val="20"/>
        </w:rPr>
        <w:t xml:space="preserve">allocation </w:t>
      </w:r>
      <w:r w:rsidRPr="008E2779">
        <w:rPr>
          <w:rFonts w:eastAsia="Arial"/>
          <w:sz w:val="20"/>
        </w:rPr>
        <w:t xml:space="preserve">pattern </w:t>
      </w:r>
      <w:r>
        <w:rPr>
          <w:rFonts w:eastAsia="Arial"/>
          <w:sz w:val="20"/>
        </w:rPr>
        <w:t xml:space="preserve">may be conceived as </w:t>
      </w:r>
      <w:r w:rsidRPr="008E2779">
        <w:rPr>
          <w:rFonts w:eastAsia="Arial"/>
          <w:sz w:val="20"/>
        </w:rPr>
        <w:t xml:space="preserve">one of many possible outcomes of a stochastic </w:t>
      </w:r>
      <w:r w:rsidR="00FA1D8A" w:rsidRPr="009F729B">
        <w:rPr>
          <w:rFonts w:eastAsia="Arial"/>
          <w:noProof/>
          <w:sz w:val="20"/>
        </w:rPr>
        <w:t>allocati</w:t>
      </w:r>
      <w:r w:rsidR="009F729B">
        <w:rPr>
          <w:rFonts w:eastAsia="Arial"/>
          <w:noProof/>
          <w:sz w:val="20"/>
        </w:rPr>
        <w:t>o</w:t>
      </w:r>
      <w:r w:rsidR="00FA1D8A" w:rsidRPr="009F729B">
        <w:rPr>
          <w:rFonts w:eastAsia="Arial"/>
          <w:noProof/>
          <w:sz w:val="20"/>
        </w:rPr>
        <w:t>n</w:t>
      </w:r>
      <w:r w:rsidR="00FA1D8A">
        <w:rPr>
          <w:rFonts w:eastAsia="Arial"/>
          <w:sz w:val="20"/>
        </w:rPr>
        <w:t xml:space="preserve"> process</w:t>
      </w:r>
      <w:r w:rsidRPr="008E2779">
        <w:rPr>
          <w:rFonts w:eastAsia="Arial"/>
          <w:sz w:val="20"/>
        </w:rPr>
        <w:t xml:space="preserve">. </w:t>
      </w:r>
      <w:r w:rsidRPr="00FA1D8A">
        <w:rPr>
          <w:rFonts w:eastAsia="Arial"/>
          <w:noProof/>
          <w:sz w:val="20"/>
        </w:rPr>
        <w:t>Usually</w:t>
      </w:r>
      <w:r w:rsidR="00FA1D8A">
        <w:rPr>
          <w:rFonts w:eastAsia="Arial"/>
          <w:noProof/>
          <w:sz w:val="20"/>
        </w:rPr>
        <w:t>,</w:t>
      </w:r>
      <w:r w:rsidRPr="008E2779">
        <w:rPr>
          <w:rFonts w:eastAsia="Arial"/>
          <w:sz w:val="20"/>
        </w:rPr>
        <w:t xml:space="preserve"> researchers are interested in understanding the “systematic” characteristics of the allocation process, apart from random fluctuations that may affect a single observed pattern </w:t>
      </w:r>
      <w:r w:rsidR="00FF654D">
        <w:rPr>
          <w:rFonts w:eastAsia="Arial"/>
          <w:sz w:val="20"/>
        </w:rPr>
        <w:t>(</w:t>
      </w:r>
      <w:r w:rsidR="00FF654D">
        <w:rPr>
          <w:rFonts w:eastAsia="Arial"/>
          <w:sz w:val="20"/>
        </w:rPr>
        <w:t>Mazza and Punzo, 2015</w:t>
      </w:r>
      <w:r w:rsidR="00FF654D" w:rsidRPr="008E2779">
        <w:rPr>
          <w:rFonts w:eastAsia="Arial"/>
          <w:sz w:val="20"/>
        </w:rPr>
        <w:t>)</w:t>
      </w:r>
      <w:r w:rsidRPr="008E2779">
        <w:rPr>
          <w:rFonts w:eastAsia="Arial"/>
          <w:sz w:val="20"/>
        </w:rPr>
        <w:t>. In this view, the observed dissimilarity</w:t>
      </w:r>
      <w:r w:rsidR="009F729B">
        <w:rPr>
          <w:rFonts w:eastAsia="Arial"/>
          <w:sz w:val="20"/>
        </w:rPr>
        <w:t xml:space="preserve"> </w:t>
      </w:r>
      <m:oMath>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D</m:t>
            </m:r>
          </m:e>
        </m:acc>
      </m:oMath>
      <w:r w:rsidRPr="008E2779">
        <w:rPr>
          <w:rFonts w:eastAsia="Arial"/>
          <w:sz w:val="20"/>
        </w:rPr>
        <w:t xml:space="preserve"> is merely an estimator of </w:t>
      </w:r>
      <w:r w:rsidRPr="00FA1D8A">
        <w:rPr>
          <w:rFonts w:eastAsia="Arial"/>
          <w:noProof/>
          <w:sz w:val="20"/>
        </w:rPr>
        <w:t>a</w:t>
      </w:r>
      <w:r w:rsidR="00FA1D8A" w:rsidRPr="00FA1D8A">
        <w:rPr>
          <w:rFonts w:eastAsia="Arial"/>
          <w:noProof/>
          <w:sz w:val="20"/>
        </w:rPr>
        <w:t>n</w:t>
      </w:r>
      <w:r w:rsidRPr="00FA1D8A">
        <w:rPr>
          <w:rFonts w:eastAsia="Arial"/>
          <w:noProof/>
          <w:sz w:val="20"/>
        </w:rPr>
        <w:t xml:space="preserve"> </w:t>
      </w:r>
      <w:r w:rsidRPr="008E2779">
        <w:rPr>
          <w:rFonts w:eastAsia="Arial"/>
          <w:sz w:val="20"/>
        </w:rPr>
        <w:t>unknown level of dissimila</w:t>
      </w:r>
      <w:r w:rsidR="00FA1D8A">
        <w:rPr>
          <w:rFonts w:eastAsia="Arial"/>
          <w:sz w:val="20"/>
        </w:rPr>
        <w:t>rity in the population</w:t>
      </w:r>
      <w:r w:rsidRPr="008E2779">
        <w:rPr>
          <w:rFonts w:eastAsia="Arial"/>
          <w:sz w:val="20"/>
        </w:rPr>
        <w:t xml:space="preserve">. </w:t>
      </w:r>
    </w:p>
    <w:p w:rsidR="008E2779" w:rsidRDefault="008E2779" w:rsidP="008E2779">
      <w:pPr>
        <w:pStyle w:val="Maintext"/>
        <w:ind w:firstLine="284"/>
        <w:rPr>
          <w:rFonts w:eastAsia="Arial"/>
          <w:sz w:val="20"/>
        </w:rPr>
      </w:pPr>
      <w:r w:rsidRPr="008E2779">
        <w:rPr>
          <w:rFonts w:eastAsia="Arial"/>
          <w:sz w:val="20"/>
        </w:rPr>
        <w:t xml:space="preserve">A problem with the use of </w:t>
      </w:r>
      <w:r w:rsidR="009F729B">
        <w:rPr>
          <w:rFonts w:eastAsia="Arial"/>
          <w:sz w:val="20"/>
        </w:rPr>
        <w:t xml:space="preserve">the </w:t>
      </w:r>
      <w:r w:rsidR="009F729B" w:rsidRPr="009F729B">
        <w:rPr>
          <w:rFonts w:eastAsia="Arial"/>
          <w:sz w:val="20"/>
        </w:rPr>
        <w:t>dissimilarity index</w:t>
      </w:r>
      <w:r w:rsidRPr="009F729B">
        <w:rPr>
          <w:rFonts w:eastAsia="Arial"/>
          <w:sz w:val="20"/>
        </w:rPr>
        <w:t xml:space="preserve"> </w:t>
      </w:r>
      <w:r w:rsidRPr="008E2779">
        <w:rPr>
          <w:rFonts w:eastAsia="Arial"/>
          <w:sz w:val="20"/>
        </w:rPr>
        <w:t xml:space="preserve">is that </w:t>
      </w:r>
      <m:oMath>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D</m:t>
            </m:r>
          </m:e>
        </m:acc>
      </m:oMath>
      <w:r w:rsidRPr="008E2779">
        <w:rPr>
          <w:rFonts w:eastAsia="Arial"/>
          <w:sz w:val="20"/>
        </w:rPr>
        <w:t xml:space="preserve"> appears to be an upward biased estimator of </w:t>
      </w:r>
      <m:oMath>
        <m:r>
          <w:rPr>
            <w:rFonts w:ascii="Cambria Math" w:eastAsiaTheme="minorEastAsia" w:hAnsi="Cambria Math"/>
            <w:color w:val="000000" w:themeColor="text1"/>
            <w:kern w:val="24"/>
            <w:sz w:val="24"/>
            <w:szCs w:val="40"/>
          </w:rPr>
          <m:t>D</m:t>
        </m:r>
      </m:oMath>
      <w:r w:rsidRPr="008E2779">
        <w:rPr>
          <w:rFonts w:eastAsia="Arial"/>
          <w:sz w:val="20"/>
        </w:rPr>
        <w:t xml:space="preserve">. Within a multinomial framework, Allen et al. (2009) demonstrate, using simulations, that random allocation generates substantial unevenness, and hence an upward bias,  especially when dealing with small units, a small minority proportion, and a low level of segregation. Accordingly, different correction approaches have been proposed in literature (see, e.g., Allen et al., 2009, and Altavilla, Mazza and Punzo, 2010 for two examples of bootstrap-based bias correction, </w:t>
      </w:r>
      <w:r w:rsidR="00FF654D" w:rsidRPr="008E2779">
        <w:rPr>
          <w:rFonts w:eastAsia="Arial"/>
          <w:sz w:val="20"/>
        </w:rPr>
        <w:t>and Mazza and Punzo 201</w:t>
      </w:r>
      <w:r w:rsidR="00FF654D">
        <w:rPr>
          <w:rFonts w:eastAsia="Arial"/>
          <w:sz w:val="20"/>
        </w:rPr>
        <w:t>5</w:t>
      </w:r>
      <w:r w:rsidR="00FF654D" w:rsidRPr="008E2779">
        <w:rPr>
          <w:rFonts w:eastAsia="Arial"/>
          <w:sz w:val="20"/>
        </w:rPr>
        <w:t xml:space="preserve"> </w:t>
      </w:r>
      <w:r w:rsidRPr="008E2779">
        <w:rPr>
          <w:rFonts w:eastAsia="Arial"/>
          <w:sz w:val="20"/>
        </w:rPr>
        <w:t xml:space="preserve">for an analytical computation of bias </w:t>
      </w:r>
      <w:r w:rsidR="00FF654D">
        <w:rPr>
          <w:rFonts w:eastAsia="Arial"/>
          <w:sz w:val="20"/>
        </w:rPr>
        <w:t>and</w:t>
      </w:r>
      <w:r w:rsidRPr="008E2779">
        <w:rPr>
          <w:rFonts w:eastAsia="Arial"/>
          <w:sz w:val="20"/>
        </w:rPr>
        <w:t xml:space="preserve"> a new</w:t>
      </w:r>
      <w:r w:rsidR="00F53E77">
        <w:rPr>
          <w:rFonts w:eastAsia="Arial"/>
          <w:sz w:val="20"/>
        </w:rPr>
        <w:t>er</w:t>
      </w:r>
      <w:r w:rsidRPr="008E2779">
        <w:rPr>
          <w:rFonts w:eastAsia="Arial"/>
          <w:sz w:val="20"/>
        </w:rPr>
        <w:t xml:space="preserve"> bias correction which outperforms previous correction attempts). </w:t>
      </w:r>
    </w:p>
    <w:p w:rsidR="00F53E77" w:rsidRPr="00F53E77" w:rsidRDefault="00F53E77" w:rsidP="00F53E77">
      <w:pPr>
        <w:pStyle w:val="Maintext"/>
        <w:ind w:firstLine="284"/>
        <w:rPr>
          <w:rFonts w:eastAsia="Arial"/>
          <w:sz w:val="20"/>
        </w:rPr>
      </w:pPr>
      <w:r>
        <w:rPr>
          <w:rFonts w:eastAsia="Arial"/>
          <w:sz w:val="20"/>
        </w:rPr>
        <w:t xml:space="preserve">Although </w:t>
      </w:r>
      <w:r w:rsidRPr="00F53E77">
        <w:rPr>
          <w:rFonts w:eastAsia="Arial"/>
          <w:noProof/>
          <w:sz w:val="20"/>
        </w:rPr>
        <w:t>several</w:t>
      </w:r>
      <w:r>
        <w:rPr>
          <w:rFonts w:eastAsia="Arial"/>
          <w:sz w:val="20"/>
        </w:rPr>
        <w:t xml:space="preserve"> b</w:t>
      </w:r>
      <w:r w:rsidRPr="00F53E77">
        <w:rPr>
          <w:rFonts w:eastAsia="Arial"/>
          <w:sz w:val="20"/>
        </w:rPr>
        <w:t xml:space="preserve">ias correction methods have been proposed, they require the computation of the sampling distribution of the index through computation-intensive techniques and the lack of user-friendly computer programs has affected their adoption. We introduce an R package </w:t>
      </w:r>
      <w:r w:rsidR="00AB4A6B">
        <w:rPr>
          <w:rFonts w:eastAsia="Arial"/>
          <w:sz w:val="20"/>
        </w:rPr>
        <w:t>(</w:t>
      </w:r>
      <w:r w:rsidR="00AB4A6B" w:rsidRPr="00AB4A6B">
        <w:rPr>
          <w:rFonts w:eastAsia="Arial"/>
          <w:sz w:val="20"/>
        </w:rPr>
        <w:t>R Core Team</w:t>
      </w:r>
      <w:r w:rsidR="00AB4A6B">
        <w:rPr>
          <w:rFonts w:eastAsia="Arial"/>
          <w:sz w:val="20"/>
        </w:rPr>
        <w:t>, 2017</w:t>
      </w:r>
      <w:r w:rsidR="00AB4A6B" w:rsidRPr="00AB4A6B">
        <w:rPr>
          <w:rFonts w:eastAsia="Arial"/>
          <w:sz w:val="20"/>
        </w:rPr>
        <w:t xml:space="preserve"> </w:t>
      </w:r>
      <w:r w:rsidR="00AB4A6B" w:rsidRPr="00AB4A6B">
        <w:rPr>
          <w:rFonts w:eastAsia="Arial"/>
          <w:sz w:val="20"/>
        </w:rPr>
        <w:t>)</w:t>
      </w:r>
      <w:r w:rsidR="00AB4A6B">
        <w:t xml:space="preserve"> </w:t>
      </w:r>
      <w:r w:rsidRPr="00F53E77">
        <w:rPr>
          <w:rFonts w:eastAsia="Arial"/>
          <w:sz w:val="20"/>
        </w:rPr>
        <w:t xml:space="preserve">that allows for the computation of bias corrections based on bootstrap, iterated bootstrap, grouped jackknife, and on </w:t>
      </w:r>
      <w:r>
        <w:rPr>
          <w:rFonts w:eastAsia="Arial"/>
          <w:sz w:val="20"/>
        </w:rPr>
        <w:t>the</w:t>
      </w:r>
      <w:r w:rsidRPr="00F53E77">
        <w:rPr>
          <w:rFonts w:eastAsia="Arial"/>
          <w:sz w:val="20"/>
        </w:rPr>
        <w:t xml:space="preserve"> technique recently proposed </w:t>
      </w:r>
      <w:r>
        <w:rPr>
          <w:rFonts w:eastAsia="Arial"/>
          <w:sz w:val="20"/>
        </w:rPr>
        <w:t xml:space="preserve">in </w:t>
      </w:r>
      <w:r w:rsidRPr="00F53E77">
        <w:rPr>
          <w:rFonts w:eastAsia="Arial"/>
          <w:sz w:val="20"/>
        </w:rPr>
        <w:t xml:space="preserve">Mazza and Punzo </w:t>
      </w:r>
      <w:r>
        <w:rPr>
          <w:rFonts w:eastAsia="Arial"/>
          <w:sz w:val="20"/>
        </w:rPr>
        <w:t>(</w:t>
      </w:r>
      <w:r w:rsidRPr="00F53E77">
        <w:rPr>
          <w:rFonts w:eastAsia="Arial"/>
          <w:sz w:val="20"/>
        </w:rPr>
        <w:t>201</w:t>
      </w:r>
      <w:r w:rsidR="00FF654D">
        <w:rPr>
          <w:rFonts w:eastAsia="Arial"/>
          <w:sz w:val="20"/>
        </w:rPr>
        <w:t>5</w:t>
      </w:r>
      <w:r>
        <w:rPr>
          <w:rFonts w:eastAsia="Arial"/>
          <w:sz w:val="20"/>
        </w:rPr>
        <w:t>)</w:t>
      </w:r>
      <w:r w:rsidRPr="00F53E77">
        <w:rPr>
          <w:rFonts w:eastAsia="Arial"/>
          <w:sz w:val="20"/>
        </w:rPr>
        <w:t>. Confidence intervals and tests for absence of segregation are implemented.</w:t>
      </w:r>
    </w:p>
    <w:p w:rsidR="00F53E77" w:rsidRDefault="00F53E77" w:rsidP="00F53E77">
      <w:pPr>
        <w:pStyle w:val="SectionHeading"/>
        <w:ind w:left="284" w:hanging="284"/>
      </w:pPr>
      <w:r w:rsidRPr="00AD67F8">
        <w:t>Estimators</w:t>
      </w:r>
    </w:p>
    <w:p w:rsidR="00F53E77" w:rsidRPr="00700166" w:rsidRDefault="00F53E77" w:rsidP="00F53E77">
      <w:pPr>
        <w:rPr>
          <w:lang w:val="en-US"/>
        </w:rPr>
      </w:pPr>
    </w:p>
    <w:p w:rsidR="00F53E77" w:rsidRPr="00F53E77" w:rsidRDefault="00F53E77" w:rsidP="00F53E77">
      <w:pPr>
        <w:pStyle w:val="Maintext"/>
        <w:rPr>
          <w:sz w:val="20"/>
        </w:rPr>
      </w:pPr>
      <w:r w:rsidRPr="00F53E77">
        <w:rPr>
          <w:sz w:val="20"/>
        </w:rPr>
        <w:t xml:space="preserve">In this section, we introduce four alternative bias correction techniques. </w:t>
      </w:r>
    </w:p>
    <w:p w:rsidR="00F53E77" w:rsidRDefault="00F53E77" w:rsidP="00F53E77">
      <w:pPr>
        <w:rPr>
          <w:lang w:val="en-US"/>
        </w:rPr>
      </w:pPr>
    </w:p>
    <w:p w:rsidR="00F53E77" w:rsidRPr="00DC581B" w:rsidRDefault="00F53E77" w:rsidP="00AB4A6B">
      <w:pPr>
        <w:pStyle w:val="Subsectionheading"/>
        <w:jc w:val="both"/>
      </w:pPr>
      <w:r w:rsidRPr="00DC581B">
        <w:lastRenderedPageBreak/>
        <w:t>Bootstrap based estimator</w:t>
      </w:r>
    </w:p>
    <w:p w:rsidR="00F53E77" w:rsidRDefault="00F53E77" w:rsidP="00F53E77">
      <w:pPr>
        <w:rPr>
          <w:lang w:val="en-US"/>
        </w:rPr>
      </w:pPr>
      <w:r w:rsidRPr="00206C7E">
        <w:rPr>
          <w:lang w:val="en-US"/>
        </w:rPr>
        <w:t>Allen et al. (2009)</w:t>
      </w:r>
      <w:r>
        <w:rPr>
          <w:lang w:val="en-US"/>
        </w:rPr>
        <w:t xml:space="preserve"> </w:t>
      </w:r>
      <w:r w:rsidRPr="00206C7E">
        <w:rPr>
          <w:lang w:val="en-US"/>
        </w:rPr>
        <w:t>adopt a bootstrap-based bias correction</w:t>
      </w:r>
      <w:r w:rsidR="00B155DE">
        <w:rPr>
          <w:lang w:val="en-US"/>
        </w:rPr>
        <w:t xml:space="preserve">, </w:t>
      </w:r>
      <w:r w:rsidRPr="00206C7E">
        <w:rPr>
          <w:lang w:val="en-US"/>
        </w:rPr>
        <w:t xml:space="preserve">based on </w:t>
      </w:r>
    </w:p>
    <w:p w:rsidR="00B155DE" w:rsidRDefault="00B155DE" w:rsidP="00F53E77">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450"/>
      </w:tblGrid>
      <w:tr w:rsidR="00F53E77" w:rsidTr="001140D1">
        <w:tc>
          <w:tcPr>
            <w:tcW w:w="6941" w:type="dxa"/>
            <w:vAlign w:val="center"/>
          </w:tcPr>
          <w:p w:rsidR="00F53E77" w:rsidRPr="00BC5BB9" w:rsidRDefault="00F53E77" w:rsidP="001140D1">
            <w:pPr>
              <w:rPr>
                <w:sz w:val="14"/>
                <w:lang w:val="en-US"/>
              </w:rPr>
            </w:pPr>
            <m:oMathPara>
              <m:oMath>
                <m:r>
                  <w:rPr>
                    <w:rFonts w:ascii="Cambria Math" w:eastAsiaTheme="minorEastAsia" w:hAnsi="Cambria Math"/>
                    <w:color w:val="000000" w:themeColor="text1"/>
                    <w:kern w:val="24"/>
                    <w:sz w:val="24"/>
                    <w:szCs w:val="40"/>
                  </w:rPr>
                  <m:t>D-</m:t>
                </m:r>
                <m:sSub>
                  <m:sSubPr>
                    <m:ctrlPr>
                      <w:rPr>
                        <w:rFonts w:ascii="Cambria Math" w:eastAsiaTheme="minorEastAsia" w:hAnsi="Cambria Math"/>
                        <w:i/>
                        <w:iCs/>
                        <w:color w:val="000000" w:themeColor="text1"/>
                        <w:kern w:val="24"/>
                        <w:sz w:val="24"/>
                        <w:szCs w:val="40"/>
                      </w:rPr>
                    </m:ctrlPr>
                  </m:sSub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D</m:t>
                        </m:r>
                      </m:e>
                    </m:acc>
                  </m:e>
                  <m:sub>
                    <m:r>
                      <m:rPr>
                        <m:sty m:val="p"/>
                      </m:rPr>
                      <w:rPr>
                        <w:rFonts w:ascii="Cambria Math" w:eastAsiaTheme="minorEastAsia" w:hAnsi="Cambria Math"/>
                        <w:color w:val="000000" w:themeColor="text1"/>
                        <w:kern w:val="24"/>
                        <w:sz w:val="24"/>
                        <w:szCs w:val="40"/>
                      </w:rPr>
                      <m:t>obs</m:t>
                    </m:r>
                  </m:sub>
                </m:sSub>
                <m:r>
                  <m:rPr>
                    <m:sty m:val="p"/>
                  </m:rPr>
                  <w:rPr>
                    <w:rFonts w:ascii="Cambria Math" w:eastAsiaTheme="minorEastAsia" w:hAnsi="Cambria Math"/>
                    <w:color w:val="000000" w:themeColor="text1"/>
                    <w:kern w:val="24"/>
                    <w:sz w:val="24"/>
                    <w:szCs w:val="40"/>
                  </w:rPr>
                  <m:t>≈</m:t>
                </m:r>
                <m:sSub>
                  <m:sSubPr>
                    <m:ctrlPr>
                      <w:rPr>
                        <w:rFonts w:ascii="Cambria Math" w:eastAsiaTheme="minorEastAsia" w:hAnsi="Cambria Math"/>
                        <w:i/>
                        <w:iCs/>
                        <w:color w:val="000000" w:themeColor="text1"/>
                        <w:kern w:val="24"/>
                        <w:sz w:val="24"/>
                        <w:szCs w:val="40"/>
                      </w:rPr>
                    </m:ctrlPr>
                  </m:sSub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D</m:t>
                        </m:r>
                      </m:e>
                    </m:acc>
                  </m:e>
                  <m:sub>
                    <m:r>
                      <m:rPr>
                        <m:sty m:val="p"/>
                      </m:rPr>
                      <w:rPr>
                        <w:rFonts w:ascii="Cambria Math" w:eastAsiaTheme="minorEastAsia" w:hAnsi="Cambria Math"/>
                        <w:color w:val="000000" w:themeColor="text1"/>
                        <w:kern w:val="24"/>
                        <w:sz w:val="24"/>
                        <w:szCs w:val="40"/>
                      </w:rPr>
                      <m:t>obs</m:t>
                    </m:r>
                  </m:sub>
                </m:sSub>
                <m:r>
                  <w:rPr>
                    <w:rFonts w:ascii="Cambria Math" w:eastAsiaTheme="minorEastAsia" w:hAnsi="Cambria Math"/>
                    <w:color w:val="000000" w:themeColor="text1"/>
                    <w:kern w:val="24"/>
                    <w:sz w:val="24"/>
                    <w:szCs w:val="40"/>
                  </w:rPr>
                  <m:t>-E</m:t>
                </m:r>
                <m:d>
                  <m:dPr>
                    <m:ctrlPr>
                      <w:rPr>
                        <w:rFonts w:ascii="Cambria Math" w:eastAsiaTheme="minorEastAsia" w:hAnsi="Cambria Math"/>
                        <w:i/>
                        <w:iCs/>
                        <w:color w:val="000000" w:themeColor="text1"/>
                        <w:kern w:val="24"/>
                        <w:sz w:val="24"/>
                        <w:szCs w:val="40"/>
                      </w:rPr>
                    </m:ctrlPr>
                  </m:d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D</m:t>
                        </m:r>
                      </m:e>
                    </m:acc>
                    <m:r>
                      <m:rPr>
                        <m:sty m:val="p"/>
                      </m:rPr>
                      <w:rPr>
                        <w:rFonts w:ascii="Cambria Math" w:eastAsiaTheme="minorEastAsia" w:hAnsi="Cambria Math"/>
                        <w:color w:val="000000" w:themeColor="text1"/>
                        <w:kern w:val="24"/>
                        <w:sz w:val="24"/>
                        <w:szCs w:val="40"/>
                      </w:rPr>
                      <m:t>|</m:t>
                    </m:r>
                    <m:sSubSup>
                      <m:sSubSupPr>
                        <m:ctrlPr>
                          <w:rPr>
                            <w:rFonts w:ascii="Cambria Math" w:eastAsiaTheme="minorEastAsia" w:hAnsi="Cambria Math"/>
                            <w:i/>
                            <w:iCs/>
                            <w:color w:val="000000" w:themeColor="text1"/>
                            <w:kern w:val="24"/>
                            <w:sz w:val="24"/>
                            <w:szCs w:val="40"/>
                          </w:rPr>
                        </m:ctrlPr>
                      </m:sSubSup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p</m:t>
                            </m:r>
                          </m:e>
                        </m:acc>
                      </m:e>
                      <m:sub>
                        <m:r>
                          <m:rPr>
                            <m:sty m:val="p"/>
                          </m:rPr>
                          <w:rPr>
                            <w:rFonts w:ascii="Cambria Math" w:eastAsiaTheme="minorEastAsia" w:hAnsi="Cambria Math"/>
                            <w:color w:val="000000" w:themeColor="text1"/>
                            <w:kern w:val="24"/>
                            <w:sz w:val="24"/>
                            <w:szCs w:val="40"/>
                          </w:rPr>
                          <m:t>1</m:t>
                        </m:r>
                      </m:sub>
                      <m:sup>
                        <m:r>
                          <m:rPr>
                            <m:sty m:val="p"/>
                          </m:rPr>
                          <w:rPr>
                            <w:rFonts w:ascii="Cambria Math" w:eastAsiaTheme="minorEastAsia" w:hAnsi="Cambria Math"/>
                            <w:color w:val="000000" w:themeColor="text1"/>
                            <w:kern w:val="24"/>
                            <w:sz w:val="24"/>
                            <w:szCs w:val="40"/>
                          </w:rPr>
                          <m:t>0</m:t>
                        </m:r>
                      </m:sup>
                    </m:sSubSup>
                    <m:r>
                      <m:rPr>
                        <m:sty m:val="p"/>
                      </m:rPr>
                      <w:rPr>
                        <w:rFonts w:ascii="Cambria Math" w:eastAsiaTheme="minorEastAsia" w:hAnsi="Cambria Math"/>
                        <w:color w:val="000000" w:themeColor="text1"/>
                        <w:kern w:val="24"/>
                        <w:sz w:val="24"/>
                        <w:szCs w:val="40"/>
                      </w:rPr>
                      <m:t>,…,</m:t>
                    </m:r>
                    <m:sSubSup>
                      <m:sSubSupPr>
                        <m:ctrlPr>
                          <w:rPr>
                            <w:rFonts w:ascii="Cambria Math" w:eastAsiaTheme="minorEastAsia" w:hAnsi="Cambria Math"/>
                            <w:i/>
                            <w:iCs/>
                            <w:color w:val="000000" w:themeColor="text1"/>
                            <w:kern w:val="24"/>
                            <w:sz w:val="24"/>
                            <w:szCs w:val="40"/>
                          </w:rPr>
                        </m:ctrlPr>
                      </m:sSubSup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p</m:t>
                            </m:r>
                          </m:e>
                        </m:acc>
                      </m:e>
                      <m:sub>
                        <m:r>
                          <w:rPr>
                            <w:rFonts w:ascii="Cambria Math" w:eastAsiaTheme="minorEastAsia" w:hAnsi="Cambria Math"/>
                            <w:color w:val="000000" w:themeColor="text1"/>
                            <w:kern w:val="24"/>
                            <w:sz w:val="24"/>
                            <w:szCs w:val="40"/>
                          </w:rPr>
                          <m:t>k</m:t>
                        </m:r>
                      </m:sub>
                      <m:sup>
                        <m:r>
                          <m:rPr>
                            <m:sty m:val="p"/>
                          </m:rPr>
                          <w:rPr>
                            <w:rFonts w:ascii="Cambria Math" w:eastAsiaTheme="minorEastAsia" w:hAnsi="Cambria Math"/>
                            <w:color w:val="000000" w:themeColor="text1"/>
                            <w:kern w:val="24"/>
                            <w:sz w:val="24"/>
                            <w:szCs w:val="40"/>
                          </w:rPr>
                          <m:t>0</m:t>
                        </m:r>
                      </m:sup>
                    </m:sSubSup>
                    <m:r>
                      <m:rPr>
                        <m:sty m:val="p"/>
                      </m:rPr>
                      <w:rPr>
                        <w:rFonts w:ascii="Cambria Math" w:eastAsiaTheme="minorEastAsia" w:hAnsi="Cambria Math"/>
                        <w:color w:val="000000" w:themeColor="text1"/>
                        <w:kern w:val="24"/>
                        <w:sz w:val="24"/>
                        <w:szCs w:val="40"/>
                      </w:rPr>
                      <m:t>,</m:t>
                    </m:r>
                    <m:sSubSup>
                      <m:sSubSupPr>
                        <m:ctrlPr>
                          <w:rPr>
                            <w:rFonts w:ascii="Cambria Math" w:eastAsiaTheme="minorEastAsia" w:hAnsi="Cambria Math"/>
                            <w:i/>
                            <w:iCs/>
                            <w:color w:val="000000" w:themeColor="text1"/>
                            <w:kern w:val="24"/>
                            <w:sz w:val="24"/>
                            <w:szCs w:val="40"/>
                          </w:rPr>
                        </m:ctrlPr>
                      </m:sSubSup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p</m:t>
                            </m:r>
                          </m:e>
                        </m:acc>
                      </m:e>
                      <m:sub>
                        <m:r>
                          <m:rPr>
                            <m:sty m:val="p"/>
                          </m:rPr>
                          <w:rPr>
                            <w:rFonts w:ascii="Cambria Math" w:eastAsiaTheme="minorEastAsia" w:hAnsi="Cambria Math"/>
                            <w:color w:val="000000" w:themeColor="text1"/>
                            <w:kern w:val="24"/>
                            <w:sz w:val="24"/>
                            <w:szCs w:val="40"/>
                          </w:rPr>
                          <m:t>1</m:t>
                        </m:r>
                      </m:sub>
                      <m:sup>
                        <m:r>
                          <m:rPr>
                            <m:sty m:val="p"/>
                          </m:rPr>
                          <w:rPr>
                            <w:rFonts w:ascii="Cambria Math" w:eastAsiaTheme="minorEastAsia" w:hAnsi="Cambria Math"/>
                            <w:color w:val="000000" w:themeColor="text1"/>
                            <w:kern w:val="24"/>
                            <w:sz w:val="24"/>
                            <w:szCs w:val="40"/>
                          </w:rPr>
                          <m:t>1</m:t>
                        </m:r>
                      </m:sup>
                    </m:sSubSup>
                    <m:r>
                      <m:rPr>
                        <m:sty m:val="p"/>
                      </m:rPr>
                      <w:rPr>
                        <w:rFonts w:ascii="Cambria Math" w:eastAsiaTheme="minorEastAsia" w:hAnsi="Cambria Math"/>
                        <w:color w:val="000000" w:themeColor="text1"/>
                        <w:kern w:val="24"/>
                        <w:sz w:val="24"/>
                        <w:szCs w:val="40"/>
                      </w:rPr>
                      <m:t>,…,</m:t>
                    </m:r>
                    <m:sSubSup>
                      <m:sSubSupPr>
                        <m:ctrlPr>
                          <w:rPr>
                            <w:rFonts w:ascii="Cambria Math" w:eastAsiaTheme="minorEastAsia" w:hAnsi="Cambria Math"/>
                            <w:i/>
                            <w:iCs/>
                            <w:color w:val="000000" w:themeColor="text1"/>
                            <w:kern w:val="24"/>
                            <w:sz w:val="24"/>
                            <w:szCs w:val="40"/>
                          </w:rPr>
                        </m:ctrlPr>
                      </m:sSubSupPr>
                      <m:e>
                        <m:acc>
                          <m:accPr>
                            <m:ctrlPr>
                              <w:rPr>
                                <w:rFonts w:ascii="Cambria Math" w:eastAsiaTheme="minorEastAsia" w:hAnsi="Cambria Math"/>
                                <w:i/>
                                <w:iCs/>
                                <w:color w:val="000000" w:themeColor="text1"/>
                                <w:kern w:val="24"/>
                                <w:sz w:val="24"/>
                                <w:szCs w:val="40"/>
                              </w:rPr>
                            </m:ctrlPr>
                          </m:accPr>
                          <m:e>
                            <m:r>
                              <w:rPr>
                                <w:rFonts w:ascii="Cambria Math" w:eastAsiaTheme="minorEastAsia" w:hAnsi="Cambria Math"/>
                                <w:color w:val="000000" w:themeColor="text1"/>
                                <w:kern w:val="24"/>
                                <w:sz w:val="24"/>
                                <w:szCs w:val="40"/>
                              </w:rPr>
                              <m:t>p</m:t>
                            </m:r>
                          </m:e>
                        </m:acc>
                      </m:e>
                      <m:sub>
                        <m:r>
                          <w:rPr>
                            <w:rFonts w:ascii="Cambria Math" w:eastAsiaTheme="minorEastAsia" w:hAnsi="Cambria Math"/>
                            <w:color w:val="000000" w:themeColor="text1"/>
                            <w:kern w:val="24"/>
                            <w:sz w:val="24"/>
                            <w:szCs w:val="40"/>
                          </w:rPr>
                          <m:t>k</m:t>
                        </m:r>
                      </m:sub>
                      <m:sup>
                        <m:r>
                          <m:rPr>
                            <m:sty m:val="p"/>
                          </m:rPr>
                          <w:rPr>
                            <w:rFonts w:ascii="Cambria Math" w:eastAsiaTheme="minorEastAsia" w:hAnsi="Cambria Math"/>
                            <w:color w:val="000000" w:themeColor="text1"/>
                            <w:kern w:val="24"/>
                            <w:sz w:val="24"/>
                            <w:szCs w:val="40"/>
                          </w:rPr>
                          <m:t>1</m:t>
                        </m:r>
                      </m:sup>
                    </m:sSubSup>
                    <m:r>
                      <m:rPr>
                        <m:sty m:val="p"/>
                      </m:rPr>
                      <w:rPr>
                        <w:rFonts w:ascii="Cambria Math" w:eastAsiaTheme="minorEastAsia" w:hAnsi="Cambria Math"/>
                        <w:color w:val="000000" w:themeColor="text1"/>
                        <w:kern w:val="24"/>
                        <w:sz w:val="24"/>
                        <w:szCs w:val="40"/>
                      </w:rPr>
                      <m:t>,</m:t>
                    </m:r>
                    <m:sSup>
                      <m:sSupPr>
                        <m:ctrlPr>
                          <w:rPr>
                            <w:rFonts w:ascii="Cambria Math" w:eastAsiaTheme="minorEastAsia" w:hAnsi="Cambria Math"/>
                            <w:i/>
                            <w:iCs/>
                            <w:color w:val="000000" w:themeColor="text1"/>
                            <w:kern w:val="24"/>
                            <w:sz w:val="24"/>
                            <w:szCs w:val="40"/>
                          </w:rPr>
                        </m:ctrlPr>
                      </m:sSupPr>
                      <m:e>
                        <m:r>
                          <w:rPr>
                            <w:rFonts w:ascii="Cambria Math" w:eastAsiaTheme="minorEastAsia" w:hAnsi="Cambria Math"/>
                            <w:color w:val="000000" w:themeColor="text1"/>
                            <w:kern w:val="24"/>
                            <w:sz w:val="24"/>
                            <w:szCs w:val="40"/>
                          </w:rPr>
                          <m:t>n</m:t>
                        </m:r>
                      </m:e>
                      <m:sup>
                        <m:r>
                          <m:rPr>
                            <m:sty m:val="p"/>
                          </m:rPr>
                          <w:rPr>
                            <w:rFonts w:ascii="Cambria Math" w:eastAsiaTheme="minorEastAsia" w:hAnsi="Cambria Math"/>
                            <w:color w:val="000000" w:themeColor="text1"/>
                            <w:kern w:val="24"/>
                            <w:sz w:val="24"/>
                            <w:szCs w:val="40"/>
                          </w:rPr>
                          <m:t>0</m:t>
                        </m:r>
                      </m:sup>
                    </m:sSup>
                    <m:r>
                      <m:rPr>
                        <m:sty m:val="p"/>
                      </m:rPr>
                      <w:rPr>
                        <w:rFonts w:ascii="Cambria Math" w:eastAsiaTheme="minorEastAsia" w:hAnsi="Cambria Math"/>
                        <w:color w:val="000000" w:themeColor="text1"/>
                        <w:kern w:val="24"/>
                        <w:sz w:val="24"/>
                        <w:szCs w:val="40"/>
                      </w:rPr>
                      <m:t>,</m:t>
                    </m:r>
                    <m:sSup>
                      <m:sSupPr>
                        <m:ctrlPr>
                          <w:rPr>
                            <w:rFonts w:ascii="Cambria Math" w:eastAsiaTheme="minorEastAsia" w:hAnsi="Cambria Math"/>
                            <w:i/>
                            <w:iCs/>
                            <w:color w:val="000000" w:themeColor="text1"/>
                            <w:kern w:val="24"/>
                            <w:sz w:val="24"/>
                            <w:szCs w:val="40"/>
                          </w:rPr>
                        </m:ctrlPr>
                      </m:sSupPr>
                      <m:e>
                        <m:r>
                          <w:rPr>
                            <w:rFonts w:ascii="Cambria Math" w:eastAsiaTheme="minorEastAsia" w:hAnsi="Cambria Math"/>
                            <w:color w:val="000000" w:themeColor="text1"/>
                            <w:kern w:val="24"/>
                            <w:sz w:val="24"/>
                            <w:szCs w:val="40"/>
                          </w:rPr>
                          <m:t>n</m:t>
                        </m:r>
                      </m:e>
                      <m:sup>
                        <m:r>
                          <m:rPr>
                            <m:sty m:val="p"/>
                          </m:rPr>
                          <w:rPr>
                            <w:rFonts w:ascii="Cambria Math" w:eastAsiaTheme="minorEastAsia" w:hAnsi="Cambria Math"/>
                            <w:color w:val="000000" w:themeColor="text1"/>
                            <w:kern w:val="24"/>
                            <w:sz w:val="24"/>
                            <w:szCs w:val="40"/>
                          </w:rPr>
                          <m:t>1</m:t>
                        </m:r>
                      </m:sup>
                    </m:sSup>
                  </m:e>
                </m:d>
                <m:r>
                  <w:rPr>
                    <w:rFonts w:ascii="Cambria Math" w:eastAsiaTheme="minorEastAsia" w:hAnsi="Cambria Math"/>
                    <w:color w:val="000000" w:themeColor="text1"/>
                    <w:kern w:val="24"/>
                    <w:sz w:val="24"/>
                    <w:szCs w:val="40"/>
                  </w:rPr>
                  <m:t>,</m:t>
                </m:r>
              </m:oMath>
            </m:oMathPara>
          </w:p>
        </w:tc>
        <w:tc>
          <w:tcPr>
            <w:tcW w:w="419" w:type="dxa"/>
            <w:vAlign w:val="center"/>
          </w:tcPr>
          <w:p w:rsidR="00F53E77" w:rsidRDefault="00F53E77" w:rsidP="001140D1">
            <w:pPr>
              <w:rPr>
                <w:noProof/>
                <w:lang w:val="en-US"/>
              </w:rPr>
            </w:pPr>
            <w:r>
              <w:fldChar w:fldCharType="begin"/>
            </w:r>
            <w:r>
              <w:instrText xml:space="preserve"> MACROBUTTON GrindEQ.reference.UpdateGrindeqFields </w:instrText>
            </w:r>
            <w:r>
              <w:fldChar w:fldCharType="begin"/>
            </w:r>
            <w:r>
              <w:instrText xml:space="preserve"> SEQ GrindEQeq \h </w:instrText>
            </w:r>
            <w:r>
              <w:fldChar w:fldCharType="end"/>
            </w:r>
            <w:bookmarkStart w:id="0" w:name="DmenoDobs"/>
            <w:r>
              <w:instrText>(</w:instrText>
            </w:r>
            <w:r>
              <w:fldChar w:fldCharType="begin"/>
            </w:r>
            <w:r>
              <w:instrText xml:space="preserve"> SEQ GrindEQeq \c </w:instrText>
            </w:r>
            <w:r>
              <w:fldChar w:fldCharType="separate"/>
            </w:r>
            <w:r>
              <w:rPr>
                <w:noProof/>
              </w:rPr>
              <w:instrText>5</w:instrText>
            </w:r>
            <w:r>
              <w:rPr>
                <w:noProof/>
              </w:rPr>
              <w:fldChar w:fldCharType="end"/>
            </w:r>
            <w:r>
              <w:instrText>)</w:instrText>
            </w:r>
            <w:bookmarkEnd w:id="0"/>
            <w:r>
              <w:fldChar w:fldCharType="end"/>
            </w:r>
          </w:p>
        </w:tc>
      </w:tr>
    </w:tbl>
    <w:p w:rsidR="00F53E77" w:rsidRDefault="00F53E77" w:rsidP="00F53E77">
      <w:pPr>
        <w:rPr>
          <w:lang w:val="en-US"/>
        </w:rPr>
      </w:pPr>
    </w:p>
    <w:p w:rsidR="00F53E77" w:rsidRDefault="00F53E77" w:rsidP="00F53E77">
      <w:pPr>
        <w:rPr>
          <w:lang w:val="en-US"/>
        </w:rPr>
      </w:pPr>
      <w:r>
        <w:rPr>
          <w:lang w:val="en-US"/>
        </w:rPr>
        <w:t>w</w:t>
      </w:r>
      <w:r w:rsidRPr="00206C7E">
        <w:rPr>
          <w:lang w:val="en-US"/>
        </w:rPr>
        <w:t>here</w:t>
      </w:r>
      <w:r>
        <w:rPr>
          <w:lang w:val="en-US"/>
        </w:rPr>
        <w:t xml:space="preserve"> </w:t>
      </w:r>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oMath>
      <w:r w:rsidRPr="00A977CC">
        <w:rPr>
          <w:lang w:val="en-US"/>
        </w:rPr>
        <w:t xml:space="preserve">  </w:t>
      </w:r>
      <w:r w:rsidRPr="00206C7E">
        <w:rPr>
          <w:lang w:val="en-US"/>
        </w:rPr>
        <w:t>denotes the observed counterpart of</w:t>
      </w:r>
      <w:r>
        <w:rPr>
          <w:rFonts w:eastAsiaTheme="minorEastAsia"/>
          <w:lang w:val="en-US"/>
        </w:rPr>
        <w:t xml:space="preserve"> </w:t>
      </w:r>
      <m:oMath>
        <m:acc>
          <m:accPr>
            <m:ctrlPr>
              <w:rPr>
                <w:rFonts w:ascii="Cambria Math" w:hAnsi="Cambria Math"/>
                <w:lang w:val="en-US"/>
              </w:rPr>
            </m:ctrlPr>
          </m:accPr>
          <m:e>
            <m:r>
              <w:rPr>
                <w:rFonts w:ascii="Cambria Math" w:hAnsi="Cambria Math"/>
                <w:lang w:val="en-US"/>
              </w:rPr>
              <m:t>D</m:t>
            </m:r>
          </m:e>
        </m:acc>
      </m:oMath>
      <w:r w:rsidRPr="00A977CC">
        <w:rPr>
          <w:lang w:val="en-US"/>
        </w:rPr>
        <w:t xml:space="preserve">. </w:t>
      </w:r>
      <w:r w:rsidRPr="00206C7E">
        <w:rPr>
          <w:lang w:val="en-US"/>
        </w:rPr>
        <w:t>The observed conditional probabilities</w:t>
      </w:r>
      <w:r>
        <w:rPr>
          <w:lang w:val="en-US"/>
        </w:rPr>
        <w:t xml:space="preserve"> </w:t>
      </w:r>
      <m:oMath>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0</m:t>
            </m:r>
          </m:sup>
        </m:sSubSup>
      </m:oMath>
      <w:r w:rsidRPr="00A977CC">
        <w:rPr>
          <w:lang w:val="en-US"/>
        </w:rPr>
        <w:t xml:space="preserve"> and </w:t>
      </w:r>
      <m:oMath>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1</m:t>
            </m:r>
          </m:sup>
        </m:sSubSup>
      </m:oMath>
      <w:r w:rsidRPr="00A977CC">
        <w:rPr>
          <w:lang w:val="en-US"/>
        </w:rPr>
        <w:t xml:space="preserve">, </w:t>
      </w:r>
      <m:oMath>
        <m:r>
          <w:rPr>
            <w:rFonts w:ascii="Cambria Math" w:hAnsi="Cambria Math"/>
            <w:lang w:val="en-US"/>
          </w:rPr>
          <m:t>j</m:t>
        </m:r>
        <m:r>
          <m:rPr>
            <m:sty m:val="p"/>
          </m:rPr>
          <w:rPr>
            <w:rFonts w:ascii="Cambria Math" w:hAnsi="Cambria Math"/>
            <w:lang w:val="en-US"/>
          </w:rPr>
          <m:t>=1,…,</m:t>
        </m:r>
        <m:r>
          <w:rPr>
            <w:rFonts w:ascii="Cambria Math" w:hAnsi="Cambria Math"/>
            <w:lang w:val="en-US"/>
          </w:rPr>
          <m:t>k</m:t>
        </m:r>
      </m:oMath>
      <w:r w:rsidRPr="00A977CC">
        <w:rPr>
          <w:lang w:val="en-US"/>
        </w:rPr>
        <w:t xml:space="preserve">, are used to generate, by multinomial sampling, </w:t>
      </w:r>
      <m:oMath>
        <m:r>
          <w:rPr>
            <w:rFonts w:ascii="Cambria Math" w:hAnsi="Cambria Math"/>
            <w:lang w:val="en-US"/>
          </w:rPr>
          <m:t>B</m:t>
        </m:r>
      </m:oMath>
      <w:r w:rsidRPr="00A977CC">
        <w:rPr>
          <w:lang w:val="en-US"/>
        </w:rPr>
        <w:t xml:space="preserve"> bootstrap allocations</w:t>
      </w:r>
      <w:r w:rsidRPr="00206C7E">
        <w:rPr>
          <w:lang w:val="en-US"/>
        </w:rPr>
        <w:t xml:space="preserve"> with the same group sizes </w:t>
      </w:r>
      <m:oMath>
        <m:sSup>
          <m:sSupPr>
            <m:ctrlPr>
              <w:rPr>
                <w:rFonts w:ascii="Cambria Math" w:eastAsiaTheme="minorEastAsia" w:hAnsi="Cambria Math"/>
                <w:i/>
                <w:iCs/>
                <w:color w:val="000000" w:themeColor="text1"/>
                <w:kern w:val="24"/>
                <w:sz w:val="24"/>
                <w:szCs w:val="40"/>
              </w:rPr>
            </m:ctrlPr>
          </m:sSupPr>
          <m:e>
            <m:r>
              <w:rPr>
                <w:rFonts w:ascii="Cambria Math" w:eastAsiaTheme="minorEastAsia" w:hAnsi="Cambria Math"/>
                <w:color w:val="000000" w:themeColor="text1"/>
                <w:kern w:val="24"/>
                <w:sz w:val="24"/>
                <w:szCs w:val="40"/>
              </w:rPr>
              <m:t>n</m:t>
            </m:r>
          </m:e>
          <m:sup>
            <m:r>
              <m:rPr>
                <m:sty m:val="p"/>
              </m:rPr>
              <w:rPr>
                <w:rFonts w:ascii="Cambria Math" w:eastAsiaTheme="minorEastAsia" w:hAnsi="Cambria Math"/>
                <w:color w:val="000000" w:themeColor="text1"/>
                <w:kern w:val="24"/>
                <w:sz w:val="24"/>
                <w:szCs w:val="40"/>
                <w:lang w:val="en-US"/>
              </w:rPr>
              <m:t>0</m:t>
            </m:r>
          </m:sup>
        </m:sSup>
      </m:oMath>
      <w:r w:rsidRPr="00A977CC">
        <w:rPr>
          <w:rFonts w:eastAsiaTheme="minorEastAsia"/>
          <w:iCs/>
          <w:color w:val="000000" w:themeColor="text1"/>
          <w:kern w:val="24"/>
          <w:sz w:val="24"/>
          <w:szCs w:val="40"/>
          <w:lang w:val="en-US"/>
        </w:rPr>
        <w:t xml:space="preserve"> and </w:t>
      </w:r>
      <m:oMath>
        <m:sSup>
          <m:sSupPr>
            <m:ctrlPr>
              <w:rPr>
                <w:rFonts w:ascii="Cambria Math" w:eastAsiaTheme="minorEastAsia" w:hAnsi="Cambria Math"/>
                <w:i/>
                <w:iCs/>
                <w:color w:val="000000" w:themeColor="text1"/>
                <w:kern w:val="24"/>
                <w:sz w:val="24"/>
                <w:szCs w:val="40"/>
              </w:rPr>
            </m:ctrlPr>
          </m:sSupPr>
          <m:e>
            <m:r>
              <w:rPr>
                <w:rFonts w:ascii="Cambria Math" w:eastAsiaTheme="minorEastAsia" w:hAnsi="Cambria Math"/>
                <w:color w:val="000000" w:themeColor="text1"/>
                <w:kern w:val="24"/>
                <w:sz w:val="24"/>
                <w:szCs w:val="40"/>
              </w:rPr>
              <m:t>n</m:t>
            </m:r>
          </m:e>
          <m:sup>
            <m:r>
              <m:rPr>
                <m:sty m:val="p"/>
              </m:rPr>
              <w:rPr>
                <w:rFonts w:ascii="Cambria Math" w:eastAsiaTheme="minorEastAsia" w:hAnsi="Cambria Math"/>
                <w:color w:val="000000" w:themeColor="text1"/>
                <w:kern w:val="24"/>
                <w:sz w:val="24"/>
                <w:szCs w:val="40"/>
                <w:lang w:val="en-US"/>
              </w:rPr>
              <m:t>1</m:t>
            </m:r>
          </m:sup>
        </m:sSup>
      </m:oMath>
      <w:r w:rsidRPr="00A977CC">
        <w:rPr>
          <w:rFonts w:eastAsiaTheme="minorEastAsia"/>
          <w:iCs/>
          <w:color w:val="000000" w:themeColor="text1"/>
          <w:kern w:val="24"/>
          <w:sz w:val="24"/>
          <w:szCs w:val="40"/>
          <w:lang w:val="en-US"/>
        </w:rPr>
        <w:t>.</w:t>
      </w:r>
      <w:r>
        <w:rPr>
          <w:rFonts w:eastAsiaTheme="minorEastAsia"/>
          <w:iCs/>
          <w:color w:val="000000" w:themeColor="text1"/>
          <w:kern w:val="24"/>
          <w:sz w:val="24"/>
          <w:szCs w:val="40"/>
          <w:lang w:val="en-US"/>
        </w:rPr>
        <w:t xml:space="preserve"> </w:t>
      </w:r>
      <w:r w:rsidRPr="00A977CC">
        <w:rPr>
          <w:lang w:val="en-US"/>
        </w:rPr>
        <w:t xml:space="preserve">Then, a measure of </w:t>
      </w:r>
      <m:oMath>
        <m:r>
          <m:rPr>
            <m:sty m:val="p"/>
          </m:rPr>
          <w:rPr>
            <w:rFonts w:ascii="Cambria Math" w:hAnsi="Cambria Math"/>
            <w:lang w:val="en-US"/>
          </w:rPr>
          <m:t>Bias</m:t>
        </m:r>
        <m:d>
          <m:dPr>
            <m:ctrlPr>
              <w:rPr>
                <w:rFonts w:ascii="Cambria Math" w:hAnsi="Cambria Math"/>
                <w:lang w:val="en-US"/>
              </w:rPr>
            </m:ctrlPr>
          </m:dPr>
          <m:e>
            <m:acc>
              <m:accPr>
                <m:ctrlPr>
                  <w:rPr>
                    <w:rFonts w:ascii="Cambria Math" w:hAnsi="Cambria Math"/>
                    <w:lang w:val="en-US"/>
                  </w:rPr>
                </m:ctrlPr>
              </m:accPr>
              <m:e>
                <m:r>
                  <w:rPr>
                    <w:rFonts w:ascii="Cambria Math" w:hAnsi="Cambria Math"/>
                    <w:lang w:val="en-US"/>
                  </w:rPr>
                  <m:t>D</m:t>
                </m:r>
              </m:e>
            </m:acc>
          </m:e>
        </m:d>
      </m:oMath>
      <w:r>
        <w:rPr>
          <w:lang w:val="en-US"/>
        </w:rPr>
        <w:t xml:space="preserve"> is given by</w:t>
      </w:r>
      <w:r w:rsidRPr="00A977CC">
        <w:rPr>
          <w:lang w:val="en-US"/>
        </w:rPr>
        <w:t xml:space="preserve"> </w:t>
      </w:r>
      <m:oMath>
        <m:sSub>
          <m:sSubPr>
            <m:ctrlPr>
              <w:rPr>
                <w:rFonts w:ascii="Cambria Math" w:hAnsi="Cambria Math"/>
                <w:lang w:val="en-US"/>
              </w:rPr>
            </m:ctrlPr>
          </m:sSubPr>
          <m:e>
            <m:bar>
              <m:barPr>
                <m:pos m:val="top"/>
                <m:ctrlPr>
                  <w:rPr>
                    <w:rFonts w:ascii="Cambria Math" w:hAnsi="Cambria Math"/>
                    <w:lang w:val="en-US"/>
                  </w:rPr>
                </m:ctrlPr>
              </m:barPr>
              <m:e>
                <m:r>
                  <w:rPr>
                    <w:rFonts w:ascii="Cambria Math" w:hAnsi="Cambria Math"/>
                    <w:lang w:val="en-US"/>
                  </w:rPr>
                  <m:t>D</m:t>
                </m:r>
              </m:e>
            </m:bar>
          </m:e>
          <m:sub>
            <m:r>
              <m:rPr>
                <m:sty m:val="p"/>
              </m:rPr>
              <w:rPr>
                <w:rFonts w:ascii="Cambria Math" w:hAnsi="Cambria Math"/>
                <w:lang w:val="en-US"/>
              </w:rPr>
              <m:t>Boot</m:t>
            </m:r>
          </m:sub>
        </m:sSub>
        <m:r>
          <m:rPr>
            <m:sty m:val="p"/>
          </m:rPr>
          <w:rPr>
            <w:rFonts w:ascii="Cambria Math" w:hAnsi="Cambria Math"/>
            <w:lang w:val="en-US"/>
          </w:rPr>
          <m:t>-</m:t>
        </m:r>
        <m:acc>
          <m:accPr>
            <m:ctrlPr>
              <w:rPr>
                <w:rFonts w:ascii="Cambria Math" w:hAnsi="Cambria Math"/>
                <w:lang w:val="en-US"/>
              </w:rPr>
            </m:ctrlPr>
          </m:accPr>
          <m:e>
            <m:r>
              <w:rPr>
                <w:rFonts w:ascii="Cambria Math" w:hAnsi="Cambria Math"/>
                <w:lang w:val="en-US"/>
              </w:rPr>
              <m:t>D</m:t>
            </m:r>
          </m:e>
        </m:acc>
      </m:oMath>
      <w:r w:rsidRPr="00A977CC">
        <w:rPr>
          <w:lang w:val="en-US"/>
        </w:rPr>
        <w:t xml:space="preserve">, and the bootstrap bias corrected estimate of </w:t>
      </w:r>
      <m:oMath>
        <m:r>
          <w:rPr>
            <w:rFonts w:ascii="Cambria Math" w:hAnsi="Cambria Math"/>
            <w:lang w:val="en-US"/>
          </w:rPr>
          <m:t>D</m:t>
        </m:r>
      </m:oMath>
      <w:r w:rsidRPr="00A977CC">
        <w:rPr>
          <w:lang w:val="en-US"/>
        </w:rPr>
        <w:t xml:space="preserve"> can be obtained as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450"/>
      </w:tblGrid>
      <w:tr w:rsidR="00F53E77" w:rsidTr="001140D1">
        <w:tc>
          <w:tcPr>
            <w:tcW w:w="6941" w:type="dxa"/>
            <w:vAlign w:val="center"/>
          </w:tcPr>
          <w:p w:rsidR="00F53E77" w:rsidRPr="00083C85" w:rsidRDefault="00F53E77" w:rsidP="001140D1">
            <w:pPr>
              <w:jc w:val="center"/>
              <w:rPr>
                <w:lang w:val="en-US"/>
              </w:rPr>
            </w:pPr>
            <m:oMathPara>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Boot</m:t>
                    </m:r>
                  </m:sub>
                </m:sSub>
                <m:r>
                  <m:rPr>
                    <m:sty m:val="p"/>
                  </m:rPr>
                  <w:rPr>
                    <w:rFonts w:ascii="Cambria Math" w:hAnsi="Cambria Math"/>
                    <w:lang w:val="en-US"/>
                  </w:rPr>
                  <m:t>=</m:t>
                </m:r>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bar>
                          <m:barPr>
                            <m:pos m:val="top"/>
                            <m:ctrlPr>
                              <w:rPr>
                                <w:rFonts w:ascii="Cambria Math" w:hAnsi="Cambria Math"/>
                                <w:lang w:val="en-US"/>
                              </w:rPr>
                            </m:ctrlPr>
                          </m:barPr>
                          <m:e>
                            <m:r>
                              <w:rPr>
                                <w:rFonts w:ascii="Cambria Math" w:hAnsi="Cambria Math"/>
                                <w:lang w:val="en-US"/>
                              </w:rPr>
                              <m:t>D</m:t>
                            </m:r>
                          </m:e>
                        </m:bar>
                      </m:e>
                      <m:sub>
                        <m:r>
                          <m:rPr>
                            <m:sty m:val="p"/>
                          </m:rPr>
                          <w:rPr>
                            <w:rFonts w:ascii="Cambria Math" w:hAnsi="Cambria Math"/>
                            <w:lang w:val="en-US"/>
                          </w:rPr>
                          <m:t>Boot</m:t>
                        </m:r>
                      </m:sub>
                    </m:sSub>
                    <m:r>
                      <m:rPr>
                        <m:sty m:val="p"/>
                      </m:rPr>
                      <w:rPr>
                        <w:rFonts w:ascii="Cambria Math" w:hAnsi="Cambria Math"/>
                        <w:lang w:val="en-US"/>
                      </w:rPr>
                      <m:t>-</m:t>
                    </m:r>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e>
                </m:d>
                <m:r>
                  <m:rPr>
                    <m:sty m:val="p"/>
                  </m:rPr>
                  <w:rPr>
                    <w:rFonts w:ascii="Cambria Math" w:hAnsi="Cambria Math"/>
                    <w:lang w:val="en-US"/>
                  </w:rPr>
                  <m:t>=2</m:t>
                </m:r>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r>
                  <m:rPr>
                    <m:sty m:val="p"/>
                  </m:rPr>
                  <w:rPr>
                    <w:rFonts w:ascii="Cambria Math" w:hAnsi="Cambria Math"/>
                    <w:lang w:val="en-US"/>
                  </w:rPr>
                  <m:t>-</m:t>
                </m:r>
                <m:sSub>
                  <m:sSubPr>
                    <m:ctrlPr>
                      <w:rPr>
                        <w:rFonts w:ascii="Cambria Math" w:hAnsi="Cambria Math"/>
                        <w:lang w:val="en-US"/>
                      </w:rPr>
                    </m:ctrlPr>
                  </m:sSubPr>
                  <m:e>
                    <m:bar>
                      <m:barPr>
                        <m:pos m:val="top"/>
                        <m:ctrlPr>
                          <w:rPr>
                            <w:rFonts w:ascii="Cambria Math" w:hAnsi="Cambria Math"/>
                            <w:lang w:val="en-US"/>
                          </w:rPr>
                        </m:ctrlPr>
                      </m:barPr>
                      <m:e>
                        <m:r>
                          <w:rPr>
                            <w:rFonts w:ascii="Cambria Math" w:hAnsi="Cambria Math"/>
                            <w:lang w:val="en-US"/>
                          </w:rPr>
                          <m:t>D</m:t>
                        </m:r>
                      </m:e>
                    </m:bar>
                  </m:e>
                  <m:sub>
                    <m:r>
                      <m:rPr>
                        <m:sty m:val="p"/>
                      </m:rPr>
                      <w:rPr>
                        <w:rFonts w:ascii="Cambria Math" w:hAnsi="Cambria Math"/>
                        <w:lang w:val="en-US"/>
                      </w:rPr>
                      <m:t>Boot</m:t>
                    </m:r>
                  </m:sub>
                </m:sSub>
                <m:r>
                  <m:rPr>
                    <m:sty m:val="p"/>
                  </m:rPr>
                  <w:rPr>
                    <w:rFonts w:ascii="Cambria Math" w:hAnsi="Cambria Math"/>
                    <w:lang w:val="en-US"/>
                  </w:rPr>
                  <m:t>.</m:t>
                </m:r>
              </m:oMath>
            </m:oMathPara>
          </w:p>
        </w:tc>
        <w:tc>
          <w:tcPr>
            <w:tcW w:w="419" w:type="dxa"/>
            <w:vAlign w:val="center"/>
          </w:tcPr>
          <w:p w:rsidR="00F53E77" w:rsidRDefault="00F53E77" w:rsidP="001140D1">
            <w:pPr>
              <w:rPr>
                <w:noProof/>
                <w:lang w:val="en-US"/>
              </w:rPr>
            </w:pPr>
            <w:r>
              <w:rPr>
                <w:noProof/>
                <w:lang w:val="en-US"/>
              </w:rPr>
              <w:fldChar w:fldCharType="begin"/>
            </w:r>
            <w:r>
              <w:rPr>
                <w:noProof/>
                <w:lang w:val="en-US"/>
              </w:rPr>
              <w:instrText xml:space="preserve"> MACROBUTTON GrindEQ.reference.UpdateGrindeqFields </w:instrText>
            </w:r>
            <w:r>
              <w:rPr>
                <w:noProof/>
                <w:lang w:val="en-US"/>
              </w:rPr>
              <w:fldChar w:fldCharType="begin"/>
            </w:r>
            <w:r>
              <w:rPr>
                <w:noProof/>
                <w:lang w:val="en-US"/>
              </w:rPr>
              <w:instrText xml:space="preserve"> SEQ GrindEQeq \h </w:instrText>
            </w:r>
            <w:r>
              <w:rPr>
                <w:noProof/>
                <w:lang w:val="en-US"/>
              </w:rPr>
              <w:fldChar w:fldCharType="end"/>
            </w:r>
            <w:bookmarkStart w:id="1" w:name="Dboot"/>
            <w:r>
              <w:rPr>
                <w:noProof/>
                <w:lang w:val="en-US"/>
              </w:rPr>
              <w:instrText>(</w:instrText>
            </w:r>
            <w:r>
              <w:rPr>
                <w:noProof/>
                <w:lang w:val="en-US"/>
              </w:rPr>
              <w:fldChar w:fldCharType="begin"/>
            </w:r>
            <w:r>
              <w:rPr>
                <w:noProof/>
                <w:lang w:val="en-US"/>
              </w:rPr>
              <w:instrText xml:space="preserve"> SEQ GrindEQeq \c </w:instrText>
            </w:r>
            <w:r>
              <w:rPr>
                <w:noProof/>
                <w:lang w:val="en-US"/>
              </w:rPr>
              <w:fldChar w:fldCharType="separate"/>
            </w:r>
            <w:r>
              <w:rPr>
                <w:noProof/>
                <w:lang w:val="en-US"/>
              </w:rPr>
              <w:instrText>6</w:instrText>
            </w:r>
            <w:r>
              <w:rPr>
                <w:noProof/>
                <w:lang w:val="en-US"/>
              </w:rPr>
              <w:fldChar w:fldCharType="end"/>
            </w:r>
            <w:r>
              <w:rPr>
                <w:noProof/>
                <w:lang w:val="en-US"/>
              </w:rPr>
              <w:instrText>)</w:instrText>
            </w:r>
            <w:bookmarkEnd w:id="1"/>
            <w:r>
              <w:rPr>
                <w:noProof/>
                <w:lang w:val="en-US"/>
              </w:rPr>
              <w:fldChar w:fldCharType="end"/>
            </w:r>
          </w:p>
        </w:tc>
      </w:tr>
    </w:tbl>
    <w:p w:rsidR="00F53E77" w:rsidRDefault="00F53E77" w:rsidP="00F53E77">
      <w:pPr>
        <w:rPr>
          <w:lang w:val="en-US"/>
        </w:rPr>
      </w:pPr>
    </w:p>
    <w:p w:rsidR="00F53E77" w:rsidRDefault="00F53E77" w:rsidP="00AB4A6B">
      <w:pPr>
        <w:jc w:val="both"/>
        <w:rPr>
          <w:lang w:val="en-US"/>
        </w:rPr>
      </w:pPr>
      <w:r w:rsidRPr="00A977CC">
        <w:rPr>
          <w:lang w:val="en-US"/>
        </w:rPr>
        <w:t xml:space="preserve">This bias correction would work well if the bias were constant for different values of </w:t>
      </w:r>
      <m:oMath>
        <m:r>
          <w:rPr>
            <w:rFonts w:ascii="Cambria Math" w:hAnsi="Cambria Math"/>
            <w:lang w:val="en-US"/>
          </w:rPr>
          <m:t>D</m:t>
        </m:r>
      </m:oMath>
      <w:r w:rsidRPr="00A977CC">
        <w:rPr>
          <w:lang w:val="en-US"/>
        </w:rPr>
        <w:t>. This is not the case here, and this bias correction is therefore not expected to “eliminate”, but only to “reduce”, the existing bias.</w:t>
      </w:r>
      <w:r>
        <w:rPr>
          <w:lang w:val="en-US"/>
        </w:rPr>
        <w:t xml:space="preserve"> Instead of bootstrapping</w:t>
      </w:r>
      <w:r w:rsidRPr="00A977CC">
        <w:rPr>
          <w:lang w:val="en-US"/>
        </w:rPr>
        <w:t xml:space="preserve"> </w:t>
      </w:r>
      <m:oMath>
        <m:r>
          <w:rPr>
            <w:rFonts w:ascii="Cambria Math" w:hAnsi="Cambria Math"/>
            <w:lang w:val="en-US"/>
          </w:rPr>
          <m:t>E</m:t>
        </m:r>
        <m:d>
          <m:dPr>
            <m:ctrlPr>
              <w:rPr>
                <w:rFonts w:ascii="Cambria Math" w:hAnsi="Cambria Math"/>
                <w:lang w:val="en-US"/>
              </w:rPr>
            </m:ctrlPr>
          </m:dPr>
          <m:e>
            <m:acc>
              <m:accPr>
                <m:ctrlPr>
                  <w:rPr>
                    <w:rFonts w:ascii="Cambria Math" w:hAnsi="Cambria Math"/>
                    <w:lang w:val="en-US"/>
                  </w:rPr>
                </m:ctrlPr>
              </m:accPr>
              <m:e>
                <m:r>
                  <w:rPr>
                    <w:rFonts w:ascii="Cambria Math" w:hAnsi="Cambria Math"/>
                    <w:lang w:val="en-US"/>
                  </w:rPr>
                  <m:t>D</m:t>
                </m:r>
              </m:e>
            </m:acc>
            <m:r>
              <m:rPr>
                <m:sty m:val="p"/>
              </m:rPr>
              <w:rPr>
                <w:rFonts w:ascii="Cambria Math" w:hAnsi="Cambria Math"/>
                <w:lang w:val="en-US"/>
              </w:rPr>
              <m:t>|</m:t>
            </m:r>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m:rPr>
                    <m:sty m:val="p"/>
                  </m:rPr>
                  <w:rPr>
                    <w:rFonts w:ascii="Cambria Math" w:hAnsi="Cambria Math"/>
                    <w:lang w:val="en-US"/>
                  </w:rPr>
                  <m:t>1</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k</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m:rPr>
                    <m:sty m:val="p"/>
                  </m:rPr>
                  <w:rPr>
                    <w:rFonts w:ascii="Cambria Math" w:hAnsi="Cambria Math"/>
                    <w:lang w:val="en-US"/>
                  </w:rPr>
                  <m:t>1</m:t>
                </m:r>
              </m:sub>
              <m:sup>
                <m:r>
                  <m:rPr>
                    <m:sty m:val="p"/>
                  </m:rPr>
                  <w:rPr>
                    <w:rFonts w:ascii="Cambria Math" w:hAnsi="Cambria Math"/>
                    <w:lang w:val="en-US"/>
                  </w:rPr>
                  <m:t>1</m:t>
                </m:r>
              </m:sup>
            </m:sSubSup>
            <m:r>
              <m:rPr>
                <m:sty m:val="p"/>
              </m:rPr>
              <w:rPr>
                <w:rFonts w:ascii="Cambria Math" w:hAnsi="Cambria Math"/>
                <w:lang w:val="en-US"/>
              </w:rPr>
              <m:t>,…,</m:t>
            </m:r>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k</m:t>
                </m:r>
              </m:sub>
              <m:sup>
                <m:r>
                  <m:rPr>
                    <m:sty m:val="p"/>
                  </m:rPr>
                  <w:rPr>
                    <w:rFonts w:ascii="Cambria Math" w:hAnsi="Cambria Math"/>
                    <w:lang w:val="en-US"/>
                  </w:rPr>
                  <m:t>1</m:t>
                </m:r>
              </m:sup>
            </m:sSub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n</m:t>
                </m:r>
              </m:e>
              <m:sup>
                <m:r>
                  <m:rPr>
                    <m:sty m:val="p"/>
                  </m:rPr>
                  <w:rPr>
                    <w:rFonts w:ascii="Cambria Math" w:hAnsi="Cambria Math"/>
                    <w:lang w:val="en-US"/>
                  </w:rPr>
                  <m:t>0</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n</m:t>
                </m:r>
              </m:e>
              <m:sup>
                <m:r>
                  <m:rPr>
                    <m:sty m:val="p"/>
                  </m:rPr>
                  <w:rPr>
                    <w:rFonts w:ascii="Cambria Math" w:hAnsi="Cambria Math"/>
                    <w:lang w:val="en-US"/>
                  </w:rPr>
                  <m:t>1</m:t>
                </m:r>
              </m:sup>
            </m:sSup>
          </m:e>
        </m:d>
      </m:oMath>
      <w:r w:rsidRPr="00A977CC">
        <w:rPr>
          <w:lang w:val="en-US"/>
        </w:rPr>
        <w:t xml:space="preserve">, </w:t>
      </w:r>
      <w:r w:rsidRPr="001671CC">
        <w:rPr>
          <w:lang w:val="en-US"/>
        </w:rPr>
        <w:t xml:space="preserve">Mazza and Punzo </w:t>
      </w:r>
      <w:r w:rsidR="00B155DE">
        <w:rPr>
          <w:lang w:val="en-US"/>
        </w:rPr>
        <w:t>(201</w:t>
      </w:r>
      <w:r w:rsidR="00FF654D">
        <w:rPr>
          <w:lang w:val="en-US"/>
        </w:rPr>
        <w:t>5</w:t>
      </w:r>
      <w:r>
        <w:rPr>
          <w:lang w:val="en-US"/>
        </w:rPr>
        <w:t xml:space="preserve">) show that this expectation </w:t>
      </w:r>
      <w:r w:rsidRPr="00A977CC">
        <w:rPr>
          <w:lang w:val="en-US"/>
        </w:rPr>
        <w:t>m</w:t>
      </w:r>
      <w:r>
        <w:rPr>
          <w:lang w:val="en-US"/>
        </w:rPr>
        <w:t>ay be</w:t>
      </w:r>
      <w:r w:rsidRPr="00A977CC">
        <w:rPr>
          <w:lang w:val="en-US"/>
        </w:rPr>
        <w:t xml:space="preserve"> compute</w:t>
      </w:r>
      <w:r>
        <w:rPr>
          <w:lang w:val="en-US"/>
        </w:rPr>
        <w:t>d</w:t>
      </w:r>
      <w:r w:rsidRPr="00A977CC">
        <w:rPr>
          <w:lang w:val="en-US"/>
        </w:rPr>
        <w:t xml:space="preserve"> analytically</w:t>
      </w:r>
      <w:r>
        <w:rPr>
          <w:lang w:val="en-US"/>
        </w:rPr>
        <w:t>,</w:t>
      </w:r>
      <w:r w:rsidRPr="00A977CC">
        <w:rPr>
          <w:lang w:val="en-US"/>
        </w:rPr>
        <w:t xml:space="preserve"> using </w:t>
      </w:r>
      <w:r>
        <w:rPr>
          <w:lang w:val="en-US"/>
        </w:rPr>
        <w:t xml:space="preserve">a binomial based formulation </w:t>
      </w:r>
      <w:r w:rsidRPr="00D76A1A">
        <w:rPr>
          <w:noProof/>
          <w:lang w:val="en-US"/>
        </w:rPr>
        <w:t>for a small number of units with small sizes</w:t>
      </w:r>
      <w:r>
        <w:rPr>
          <w:lang w:val="en-US"/>
        </w:rPr>
        <w:t xml:space="preserve"> or with a </w:t>
      </w:r>
      <w:r w:rsidRPr="00A977CC">
        <w:rPr>
          <w:lang w:val="en-US"/>
        </w:rPr>
        <w:t>folded normal approximation</w:t>
      </w:r>
      <w:r>
        <w:rPr>
          <w:lang w:val="en-US"/>
        </w:rPr>
        <w:t xml:space="preserve"> </w:t>
      </w:r>
      <w:r w:rsidRPr="00D76A1A">
        <w:rPr>
          <w:noProof/>
          <w:lang w:val="en-US"/>
        </w:rPr>
        <w:t xml:space="preserve">when </w:t>
      </w:r>
      <w:r>
        <w:rPr>
          <w:noProof/>
          <w:position w:val="-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6.65pt" o:ole="">
            <v:imagedata r:id="rId8" o:title=""/>
          </v:shape>
          <o:OLEObject Type="Embed" ProgID="Equation.3" ShapeID="_x0000_i1025" DrawAspect="Content" ObjectID="_1581317572" r:id="rId9"/>
        </w:object>
      </w:r>
      <w:r w:rsidRPr="00D76A1A">
        <w:rPr>
          <w:noProof/>
          <w:lang w:val="en-US"/>
        </w:rPr>
        <w:t xml:space="preserve">, </w:t>
      </w:r>
      <w:r>
        <w:rPr>
          <w:noProof/>
          <w:position w:val="-10"/>
        </w:rPr>
        <w:object w:dxaOrig="700" w:dyaOrig="320">
          <v:shape id="_x0000_i1026" type="#_x0000_t75" style="width:34.4pt;height:16.65pt" o:ole="">
            <v:imagedata r:id="rId10" o:title=""/>
          </v:shape>
          <o:OLEObject Type="Embed" ProgID="Equation.3" ShapeID="_x0000_i1026" DrawAspect="Content" ObjectID="_1581317573" r:id="rId11"/>
        </w:object>
      </w:r>
      <w:r w:rsidRPr="00D76A1A">
        <w:rPr>
          <w:noProof/>
          <w:lang w:val="en-US"/>
        </w:rPr>
        <w:t>, is sufficiently large</w:t>
      </w:r>
      <w:r w:rsidRPr="00A977CC">
        <w:rPr>
          <w:lang w:val="en-US"/>
        </w:rPr>
        <w:t>.</w:t>
      </w:r>
    </w:p>
    <w:p w:rsidR="00F53E77" w:rsidRDefault="00F53E77" w:rsidP="00F53E77">
      <w:pPr>
        <w:rPr>
          <w:lang w:val="en-US"/>
        </w:rPr>
      </w:pPr>
    </w:p>
    <w:p w:rsidR="00F53E77" w:rsidRDefault="00F53E77" w:rsidP="00B155DE">
      <w:pPr>
        <w:pStyle w:val="Subsectionheading"/>
      </w:pPr>
      <w:r w:rsidRPr="00083C85">
        <w:t>Grouped jackknife and iterative bootstrap estimators</w:t>
      </w:r>
    </w:p>
    <w:p w:rsidR="00F53E77" w:rsidRDefault="00F53E77" w:rsidP="00F53E77">
      <w:pPr>
        <w:rPr>
          <w:lang w:val="en-US"/>
        </w:rPr>
      </w:pPr>
      <w:r w:rsidRPr="00323A4C">
        <w:rPr>
          <w:lang w:val="en-US"/>
        </w:rPr>
        <w:t>Alternative to the bootstrap, a standard practice for bias correction is the Jackknife</w:t>
      </w:r>
      <w:r>
        <w:rPr>
          <w:lang w:val="en-US"/>
        </w:rPr>
        <w:t>. Hence, w</w:t>
      </w:r>
      <w:r w:rsidRPr="00D84131">
        <w:rPr>
          <w:lang w:val="en-US"/>
        </w:rPr>
        <w:t xml:space="preserve">e </w:t>
      </w:r>
      <w:r w:rsidR="00B155DE">
        <w:rPr>
          <w:lang w:val="en-US"/>
        </w:rPr>
        <w:t>added to the package</w:t>
      </w:r>
      <w:r w:rsidRPr="00D84131">
        <w:rPr>
          <w:lang w:val="en-US"/>
        </w:rPr>
        <w:t xml:space="preserve"> a grouped jackknife estimator</w:t>
      </w:r>
      <w:r>
        <w:rPr>
          <w:lang w:val="en-US"/>
        </w:rPr>
        <w:t xml:space="preserve"> </w:t>
      </w:r>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JK</m:t>
            </m:r>
          </m:sub>
        </m:sSub>
      </m:oMath>
      <w:r>
        <w:rPr>
          <w:rFonts w:eastAsiaTheme="minorEastAsia"/>
          <w:lang w:val="en-US"/>
        </w:rPr>
        <w:t xml:space="preserve">; this estimator </w:t>
      </w:r>
      <w:r w:rsidR="00B155DE">
        <w:rPr>
          <w:rFonts w:eastAsiaTheme="minorEastAsia"/>
          <w:lang w:val="en-US"/>
        </w:rPr>
        <w:t>was</w:t>
      </w:r>
      <w:r>
        <w:rPr>
          <w:rFonts w:eastAsiaTheme="minorEastAsia"/>
          <w:lang w:val="en-US"/>
        </w:rPr>
        <w:t xml:space="preserve"> implemented following </w:t>
      </w:r>
      <w:r w:rsidRPr="00FD40B4">
        <w:rPr>
          <w:lang w:val="en-US"/>
        </w:rPr>
        <w:t xml:space="preserve">Efron (1982, Section. 2.2).  Finally, a double bootstrap estimator </w:t>
      </w:r>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DB</m:t>
            </m:r>
          </m:sub>
        </m:sSub>
      </m:oMath>
      <w:r w:rsidRPr="00FD40B4">
        <w:rPr>
          <w:lang w:val="en-US"/>
        </w:rPr>
        <w:t>, based on the approach documented in Davison and Hinkley</w:t>
      </w:r>
      <w:r w:rsidRPr="00D84131">
        <w:rPr>
          <w:lang w:val="en-US"/>
        </w:rPr>
        <w:t xml:space="preserve"> (1997, Section. 3.9)</w:t>
      </w:r>
      <w:r>
        <w:rPr>
          <w:lang w:val="en-US"/>
        </w:rPr>
        <w:t xml:space="preserve"> has also been </w:t>
      </w:r>
      <w:r w:rsidR="00B155DE">
        <w:rPr>
          <w:lang w:val="en-US"/>
        </w:rPr>
        <w:t>implemented</w:t>
      </w:r>
      <w:r w:rsidRPr="00D84131">
        <w:rPr>
          <w:lang w:val="en-US"/>
        </w:rPr>
        <w:t xml:space="preserve">. </w:t>
      </w:r>
    </w:p>
    <w:p w:rsidR="00F53E77" w:rsidRPr="00206C7E" w:rsidRDefault="00F53E77" w:rsidP="00B155DE">
      <w:pPr>
        <w:pStyle w:val="Subsectionheading"/>
      </w:pPr>
      <w:r>
        <w:t>A recently introduced estimator</w:t>
      </w:r>
    </w:p>
    <w:p w:rsidR="00F53E77" w:rsidRDefault="00F53E77" w:rsidP="00F53E77">
      <w:pPr>
        <w:rPr>
          <w:lang w:val="en-US"/>
        </w:rPr>
      </w:pPr>
      <w:r w:rsidRPr="00D76A1A">
        <w:rPr>
          <w:lang w:val="en-US"/>
        </w:rPr>
        <w:t xml:space="preserve">Mazza </w:t>
      </w:r>
      <w:r>
        <w:rPr>
          <w:lang w:val="en-US"/>
        </w:rPr>
        <w:t>and</w:t>
      </w:r>
      <w:r w:rsidR="00B155DE">
        <w:rPr>
          <w:lang w:val="en-US"/>
        </w:rPr>
        <w:t xml:space="preserve"> Punzo (201</w:t>
      </w:r>
      <w:r w:rsidR="00AB4A6B">
        <w:rPr>
          <w:lang w:val="en-US"/>
        </w:rPr>
        <w:t>5</w:t>
      </w:r>
      <w:r w:rsidR="00B155DE">
        <w:rPr>
          <w:lang w:val="en-US"/>
        </w:rPr>
        <w:t xml:space="preserve">) introduce an </w:t>
      </w:r>
      <w:r w:rsidRPr="00D76A1A">
        <w:rPr>
          <w:lang w:val="en-US"/>
        </w:rPr>
        <w:t xml:space="preserve">estimator of </w:t>
      </w:r>
      <m:oMath>
        <m:r>
          <w:rPr>
            <w:rFonts w:ascii="Cambria Math" w:hAnsi="Cambria Math"/>
            <w:lang w:val="en-US"/>
          </w:rPr>
          <m:t>D</m:t>
        </m:r>
      </m:oMath>
      <w:r w:rsidR="00B155DE">
        <w:rPr>
          <w:lang w:val="en-US"/>
        </w:rPr>
        <w:t xml:space="preserve"> that </w:t>
      </w:r>
      <w:r w:rsidRPr="00D76A1A">
        <w:rPr>
          <w:lang w:val="en-US"/>
        </w:rPr>
        <w:t xml:space="preserve">reduces the bias with respect to </w:t>
      </w:r>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Boot</m:t>
            </m:r>
          </m:sub>
        </m:sSub>
      </m:oMath>
      <w:r w:rsidRPr="00D76A1A">
        <w:rPr>
          <w:lang w:val="en-US"/>
        </w:rPr>
        <w:t xml:space="preserve">. </w:t>
      </w:r>
      <w:r>
        <w:rPr>
          <w:lang w:val="en-US"/>
        </w:rPr>
        <w:t>Its r</w:t>
      </w:r>
      <w:r w:rsidRPr="00D76A1A">
        <w:rPr>
          <w:lang w:val="en-US"/>
        </w:rPr>
        <w:t>ationale</w:t>
      </w:r>
      <w:r>
        <w:rPr>
          <w:lang w:val="en-US"/>
        </w:rPr>
        <w:t xml:space="preserve"> consists in</w:t>
      </w:r>
      <w:r w:rsidRPr="00D76A1A">
        <w:rPr>
          <w:lang w:val="en-US"/>
        </w:rPr>
        <w:t xml:space="preserve"> choosing a value </w:t>
      </w:r>
      <m:oMath>
        <m:acc>
          <m:accPr>
            <m:chr m:val="̃"/>
            <m:ctrlPr>
              <w:rPr>
                <w:rFonts w:ascii="Cambria Math" w:hAnsi="Cambria Math"/>
                <w:lang w:val="en-US"/>
              </w:rPr>
            </m:ctrlPr>
          </m:accPr>
          <m:e>
            <m:r>
              <w:rPr>
                <w:rFonts w:ascii="Cambria Math" w:hAnsi="Cambria Math"/>
                <w:lang w:val="en-US"/>
              </w:rPr>
              <m:t>D</m:t>
            </m:r>
          </m:e>
        </m:acc>
      </m:oMath>
      <w:r w:rsidRPr="00D76A1A">
        <w:rPr>
          <w:lang w:val="en-US"/>
        </w:rPr>
        <w:t xml:space="preserve"> which minimizes </w:t>
      </w:r>
    </w:p>
    <w:p w:rsidR="00B155DE" w:rsidRDefault="00B155DE" w:rsidP="00B155DE">
      <w:pPr>
        <w:spacing w:before="120" w:after="120"/>
        <w:rPr>
          <w:lang w:val="en-US"/>
        </w:rPr>
      </w:pPr>
      <m:oMathPara>
        <m:oMath>
          <m:r>
            <w:rPr>
              <w:rFonts w:ascii="Cambria Math" w:hAnsi="Cambria Math"/>
              <w:lang w:val="en-US"/>
            </w:rPr>
            <m:t>E</m:t>
          </m:r>
          <m:d>
            <m:dPr>
              <m:ctrlPr>
                <w:rPr>
                  <w:rFonts w:ascii="Cambria Math" w:hAnsi="Cambria Math"/>
                  <w:lang w:val="en-US"/>
                </w:rPr>
              </m:ctrlPr>
            </m:dPr>
            <m:e>
              <m:acc>
                <m:accPr>
                  <m:ctrlPr>
                    <w:rPr>
                      <w:rFonts w:ascii="Cambria Math" w:hAnsi="Cambria Math"/>
                      <w:lang w:val="en-US"/>
                    </w:rPr>
                  </m:ctrlPr>
                </m:accPr>
                <m:e>
                  <m:r>
                    <w:rPr>
                      <w:rFonts w:ascii="Cambria Math" w:hAnsi="Cambria Math"/>
                      <w:lang w:val="en-US"/>
                    </w:rPr>
                    <m:t>D</m:t>
                  </m:r>
                </m:e>
              </m:acc>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m:rPr>
                      <m:sty m:val="p"/>
                    </m:rPr>
                    <w:rPr>
                      <w:rFonts w:ascii="Cambria Math" w:hAnsi="Cambria Math"/>
                      <w:lang w:val="en-US"/>
                    </w:rPr>
                    <m:t>1</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k</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m:rPr>
                      <m:sty m:val="p"/>
                    </m:rPr>
                    <w:rPr>
                      <w:rFonts w:ascii="Cambria Math" w:hAnsi="Cambria Math"/>
                      <w:lang w:val="en-US"/>
                    </w:rPr>
                    <m:t>1</m:t>
                  </m:r>
                </m:sub>
                <m:sup>
                  <m:r>
                    <m:rPr>
                      <m:sty m:val="p"/>
                    </m:rPr>
                    <w:rPr>
                      <w:rFonts w:ascii="Cambria Math" w:hAnsi="Cambria Math"/>
                      <w:lang w:val="en-US"/>
                    </w:rPr>
                    <m:t>1</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k</m:t>
                  </m:r>
                </m:sub>
                <m:sup>
                  <m:r>
                    <m:rPr>
                      <m:sty m:val="p"/>
                    </m:rPr>
                    <w:rPr>
                      <w:rFonts w:ascii="Cambria Math" w:hAnsi="Cambria Math"/>
                      <w:lang w:val="en-US"/>
                    </w:rPr>
                    <m:t>1</m:t>
                  </m:r>
                </m:sup>
              </m:sSub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n</m:t>
                  </m:r>
                </m:e>
                <m:sup>
                  <m:r>
                    <m:rPr>
                      <m:sty m:val="p"/>
                    </m:rPr>
                    <w:rPr>
                      <w:rFonts w:ascii="Cambria Math" w:hAnsi="Cambria Math"/>
                      <w:lang w:val="en-US"/>
                    </w:rPr>
                    <m:t>0</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n</m:t>
                  </m:r>
                </m:e>
                <m:sup>
                  <m:r>
                    <m:rPr>
                      <m:sty m:val="p"/>
                    </m:rPr>
                    <w:rPr>
                      <w:rFonts w:ascii="Cambria Math" w:hAnsi="Cambria Math"/>
                      <w:lang w:val="en-US"/>
                    </w:rPr>
                    <m:t>1</m:t>
                  </m:r>
                </m:sup>
              </m:sSup>
            </m:e>
          </m:d>
          <m:r>
            <m:rPr>
              <m:sty m:val="p"/>
            </m:rPr>
            <w:rPr>
              <w:rFonts w:ascii="Cambria Math" w:hAnsi="Cambria Math"/>
              <w:lang w:val="en-US"/>
            </w:rPr>
            <m:t>-</m:t>
          </m:r>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oMath>
      </m:oMathPara>
    </w:p>
    <w:p w:rsidR="00F53E77" w:rsidRDefault="00F53E77" w:rsidP="00AB4A6B">
      <w:pPr>
        <w:keepNext/>
        <w:jc w:val="both"/>
        <w:rPr>
          <w:lang w:val="en-US"/>
        </w:rPr>
      </w:pPr>
      <w:r w:rsidRPr="00D76A1A">
        <w:rPr>
          <w:lang w:val="en-US"/>
        </w:rPr>
        <w:t xml:space="preserve">with </w:t>
      </w:r>
      <m:oMath>
        <m:acc>
          <m:accPr>
            <m:chr m:val="̃"/>
            <m:ctrlPr>
              <w:rPr>
                <w:rFonts w:ascii="Cambria Math" w:hAnsi="Cambria Math"/>
                <w:lang w:val="en-US"/>
              </w:rPr>
            </m:ctrlPr>
          </m:accPr>
          <m:e>
            <m:r>
              <w:rPr>
                <w:rFonts w:ascii="Cambria Math" w:hAnsi="Cambria Math"/>
                <w:lang w:val="en-US"/>
              </w:rPr>
              <m:t>D</m:t>
            </m:r>
          </m:e>
        </m:acc>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2</m:t>
            </m:r>
          </m:den>
        </m:f>
        <m:nary>
          <m:naryPr>
            <m:chr m:val="∑"/>
            <m:limLoc m:val="undOvr"/>
            <m:ctrlPr>
              <w:rPr>
                <w:rFonts w:ascii="Cambria Math" w:hAnsi="Cambria Math"/>
                <w:lang w:val="en-US"/>
              </w:rPr>
            </m:ctrlPr>
          </m:naryPr>
          <m:sub>
            <m:r>
              <w:rPr>
                <w:rFonts w:ascii="Cambria Math" w:hAnsi="Cambria Math"/>
                <w:lang w:val="en-US"/>
              </w:rPr>
              <m:t>j</m:t>
            </m:r>
            <m:r>
              <m:rPr>
                <m:sty m:val="p"/>
              </m:rPr>
              <w:rPr>
                <w:rFonts w:ascii="Cambria Math" w:hAnsi="Cambria Math"/>
                <w:lang w:val="en-US"/>
              </w:rPr>
              <m:t>=1</m:t>
            </m:r>
          </m:sub>
          <m:sup>
            <m:r>
              <w:rPr>
                <w:rFonts w:ascii="Cambria Math" w:hAnsi="Cambria Math"/>
                <w:lang w:val="en-US"/>
              </w:rPr>
              <m:t>k</m:t>
            </m:r>
          </m:sup>
          <m:e>
            <m:r>
              <m:rPr>
                <m:sty m:val="p"/>
              </m:rPr>
              <w:rPr>
                <w:rFonts w:ascii="Cambria Math"/>
                <w:lang w:val="en-US"/>
              </w:rPr>
              <m:t>‍</m:t>
            </m:r>
          </m:e>
        </m:nary>
        <m:d>
          <m:dPr>
            <m:begChr m:val="|"/>
            <m:endChr m:val="|"/>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1</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0</m:t>
                </m:r>
              </m:sup>
            </m:sSubSup>
          </m:e>
        </m:d>
        <m:r>
          <m:rPr>
            <m:sty m:val="p"/>
          </m:rPr>
          <w:rPr>
            <w:rFonts w:ascii="Cambria Math" w:hAnsi="Cambria Math"/>
            <w:lang w:val="en-US"/>
          </w:rPr>
          <m:t>.</m:t>
        </m:r>
      </m:oMath>
      <w:r w:rsidRPr="00D76A1A">
        <w:rPr>
          <w:lang w:val="en-US"/>
        </w:rPr>
        <w:t xml:space="preserve"> There may be different criteria for choosing </w:t>
      </w:r>
      <m:oMath>
        <m:acc>
          <m:accPr>
            <m:chr m:val="̃"/>
            <m:ctrlPr>
              <w:rPr>
                <w:rFonts w:ascii="Cambria Math" w:hAnsi="Cambria Math"/>
                <w:lang w:val="en-US"/>
              </w:rPr>
            </m:ctrlPr>
          </m:accPr>
          <m:e>
            <m:r>
              <w:rPr>
                <w:rFonts w:ascii="Cambria Math" w:hAnsi="Cambria Math"/>
                <w:lang w:val="en-US"/>
              </w:rPr>
              <m:t>D</m:t>
            </m:r>
          </m:e>
        </m:acc>
      </m:oMath>
      <w:r w:rsidRPr="00D76A1A">
        <w:rPr>
          <w:lang w:val="en-US"/>
        </w:rPr>
        <w:t xml:space="preserve">. </w:t>
      </w:r>
      <w:r>
        <w:rPr>
          <w:lang w:val="en-US"/>
        </w:rPr>
        <w:t>On way is</w:t>
      </w:r>
      <w:r w:rsidRPr="00D76A1A">
        <w:rPr>
          <w:lang w:val="en-US"/>
        </w:rPr>
        <w:t xml:space="preserve"> to require the sequence of differences </w:t>
      </w:r>
      <m:oMath>
        <m:d>
          <m:dPr>
            <m:begChr m:val="|"/>
            <m:endChr m:val="|"/>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1</m:t>
                </m:r>
              </m:sup>
            </m:sSubSup>
          </m:e>
        </m:d>
      </m:oMath>
      <w:r w:rsidRPr="00D76A1A">
        <w:rPr>
          <w:lang w:val="en-US"/>
        </w:rPr>
        <w:t xml:space="preserve"> to be a flattened variant of its </w:t>
      </w:r>
      <w:r w:rsidRPr="00D76A1A">
        <w:rPr>
          <w:lang w:val="en-US"/>
        </w:rPr>
        <w:lastRenderedPageBreak/>
        <w:t>observed counterpart.</w:t>
      </w:r>
      <w:r>
        <w:rPr>
          <w:lang w:val="en-US"/>
        </w:rPr>
        <w:t xml:space="preserve"> F</w:t>
      </w:r>
      <w:r w:rsidRPr="00D76A1A">
        <w:rPr>
          <w:lang w:val="en-US"/>
        </w:rPr>
        <w:t xml:space="preserve">lattening is obtained by spreading the difference </w:t>
      </w:r>
      <m:oMath>
        <m:r>
          <m:rPr>
            <m:sty m:val="p"/>
          </m:rPr>
          <w:rPr>
            <w:rFonts w:ascii="Cambria Math" w:hAnsi="Cambria Math"/>
            <w:lang w:val="en-US"/>
          </w:rPr>
          <m:t>Δ=</m:t>
        </m:r>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m:rPr>
                <m:sty m:val="p"/>
              </m:rPr>
              <w:rPr>
                <w:rFonts w:ascii="Cambria Math" w:hAnsi="Cambria Math"/>
                <w:lang w:val="en-US"/>
              </w:rPr>
              <m:t>obs</m:t>
            </m:r>
          </m:sub>
        </m:sSub>
        <m:r>
          <m:rPr>
            <m:sty m:val="p"/>
          </m:rPr>
          <w:rPr>
            <w:rFonts w:ascii="Cambria Math" w:hAnsi="Cambria Math"/>
            <w:lang w:val="en-US"/>
          </w:rPr>
          <m:t>-</m:t>
        </m:r>
        <m:acc>
          <m:accPr>
            <m:chr m:val="̃"/>
            <m:ctrlPr>
              <w:rPr>
                <w:rFonts w:ascii="Cambria Math" w:hAnsi="Cambria Math"/>
                <w:lang w:val="en-US"/>
              </w:rPr>
            </m:ctrlPr>
          </m:accPr>
          <m:e>
            <m:r>
              <w:rPr>
                <w:rFonts w:ascii="Cambria Math" w:hAnsi="Cambria Math"/>
                <w:lang w:val="en-US"/>
              </w:rPr>
              <m:t>D</m:t>
            </m:r>
          </m:e>
        </m:acc>
        <m:r>
          <m:rPr>
            <m:sty m:val="p"/>
          </m:rPr>
          <w:rPr>
            <w:rFonts w:ascii="Cambria Math" w:hAnsi="Cambria Math"/>
            <w:lang w:val="en-US"/>
          </w:rPr>
          <m:t>≥0</m:t>
        </m:r>
      </m:oMath>
      <w:r w:rsidRPr="00D76A1A">
        <w:rPr>
          <w:lang w:val="en-US"/>
        </w:rPr>
        <w:t xml:space="preserve">, among the </w:t>
      </w:r>
      <m:oMath>
        <m:r>
          <w:rPr>
            <w:rFonts w:ascii="Cambria Math" w:hAnsi="Cambria Math"/>
            <w:lang w:val="en-US"/>
          </w:rPr>
          <m:t>k</m:t>
        </m:r>
      </m:oMath>
      <w:r w:rsidRPr="00D76A1A">
        <w:rPr>
          <w:lang w:val="en-US"/>
        </w:rPr>
        <w:t xml:space="preserve"> differences </w:t>
      </w:r>
      <m:oMath>
        <m:d>
          <m:dPr>
            <m:begChr m:val="|"/>
            <m:endChr m:val="|"/>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1</m:t>
                </m:r>
              </m:sup>
            </m:sSubSup>
          </m:e>
        </m:d>
      </m:oMath>
      <w:r w:rsidRPr="00D76A1A">
        <w:rPr>
          <w:lang w:val="en-US"/>
        </w:rPr>
        <w:t xml:space="preserve">, proportionally to the residuals </w:t>
      </w:r>
      <m:oMath>
        <m:sSub>
          <m:sSubPr>
            <m:ctrlPr>
              <w:rPr>
                <w:rFonts w:ascii="Cambria Math" w:hAnsi="Cambria Math"/>
                <w:lang w:val="en-US"/>
              </w:rPr>
            </m:ctrlPr>
          </m:sSubPr>
          <m:e>
            <m:acc>
              <m:accPr>
                <m:ctrlPr>
                  <w:rPr>
                    <w:rFonts w:ascii="Cambria Math" w:hAnsi="Cambria Math"/>
                    <w:lang w:val="en-US"/>
                  </w:rPr>
                </m:ctrlPr>
              </m:accPr>
              <m:e>
                <m:r>
                  <w:rPr>
                    <w:rFonts w:ascii="Cambria Math" w:hAnsi="Cambria Math"/>
                    <w:lang w:val="en-US"/>
                  </w:rPr>
                  <m:t>d</m:t>
                </m:r>
              </m:e>
            </m:acc>
          </m:e>
          <m:sub>
            <m:r>
              <w:rPr>
                <w:rFonts w:ascii="Cambria Math" w:hAnsi="Cambria Math"/>
                <w:lang w:val="en-US"/>
              </w:rPr>
              <m:t>j</m:t>
            </m:r>
          </m:sub>
        </m:sSub>
        <m:r>
          <m:rPr>
            <m:sty m:val="p"/>
          </m:rPr>
          <w:rPr>
            <w:rFonts w:ascii="Cambria Math" w:hAnsi="Cambria Math"/>
            <w:lang w:val="en-US"/>
          </w:rPr>
          <m:t>=</m:t>
        </m:r>
        <m:d>
          <m:dPr>
            <m:begChr m:val="|"/>
            <m:endChr m:val="|"/>
            <m:ctrlPr>
              <w:rPr>
                <w:rFonts w:ascii="Cambria Math" w:hAnsi="Cambria Math"/>
                <w:lang w:val="en-US"/>
              </w:rPr>
            </m:ctrlPr>
          </m:dPr>
          <m:e>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0</m:t>
                </m:r>
              </m:sup>
            </m:sSubSup>
            <m:r>
              <m:rPr>
                <m:sty m:val="p"/>
              </m:rPr>
              <w:rPr>
                <w:rFonts w:ascii="Cambria Math" w:hAnsi="Cambria Math"/>
                <w:lang w:val="en-US"/>
              </w:rPr>
              <m:t>-</m:t>
            </m:r>
            <m:sSubSup>
              <m:sSubSupPr>
                <m:ctrlPr>
                  <w:rPr>
                    <w:rFonts w:ascii="Cambria Math" w:hAnsi="Cambria Math"/>
                    <w:lang w:val="en-US"/>
                  </w:rPr>
                </m:ctrlPr>
              </m:sSubSupPr>
              <m:e>
                <m:acc>
                  <m:accPr>
                    <m:ctrlPr>
                      <w:rPr>
                        <w:rFonts w:ascii="Cambria Math" w:hAnsi="Cambria Math"/>
                        <w:lang w:val="en-US"/>
                      </w:rPr>
                    </m:ctrlPr>
                  </m:accPr>
                  <m:e>
                    <m:r>
                      <w:rPr>
                        <w:rFonts w:ascii="Cambria Math" w:hAnsi="Cambria Math"/>
                        <w:lang w:val="en-US"/>
                      </w:rPr>
                      <m:t>p</m:t>
                    </m:r>
                  </m:e>
                </m:acc>
              </m:e>
              <m:sub>
                <m:r>
                  <w:rPr>
                    <w:rFonts w:ascii="Cambria Math" w:hAnsi="Cambria Math"/>
                    <w:lang w:val="en-US"/>
                  </w:rPr>
                  <m:t>j</m:t>
                </m:r>
              </m:sub>
              <m:sup>
                <m:r>
                  <m:rPr>
                    <m:sty m:val="p"/>
                  </m:rPr>
                  <w:rPr>
                    <w:rFonts w:ascii="Cambria Math" w:hAnsi="Cambria Math"/>
                    <w:lang w:val="en-US"/>
                  </w:rPr>
                  <m:t>1</m:t>
                </m:r>
              </m:sup>
            </m:sSubSup>
          </m:e>
        </m:d>
      </m:oMath>
      <w:r w:rsidRPr="00D76A1A">
        <w:rPr>
          <w:lang w:val="en-US"/>
        </w:rPr>
        <w:t>.</w:t>
      </w:r>
      <w:r>
        <w:rPr>
          <w:lang w:val="en-US"/>
        </w:rPr>
        <w:t xml:space="preserve"> An </w:t>
      </w:r>
      <w:r w:rsidRPr="00DB5982">
        <w:rPr>
          <w:lang w:val="en-US"/>
        </w:rPr>
        <w:t>optimization</w:t>
      </w:r>
      <w:r>
        <w:rPr>
          <w:lang w:val="en-US"/>
        </w:rPr>
        <w:t xml:space="preserve"> procedure, which </w:t>
      </w:r>
      <w:r w:rsidRPr="00DB5982">
        <w:rPr>
          <w:lang w:val="en-US"/>
        </w:rPr>
        <w:t>adopts a combination of golden section search and successive parabolic interpolation</w:t>
      </w:r>
      <w:r>
        <w:rPr>
          <w:lang w:val="en-US"/>
        </w:rPr>
        <w:t xml:space="preserve"> is described in </w:t>
      </w:r>
      <w:r w:rsidRPr="00D76A1A">
        <w:rPr>
          <w:lang w:val="en-US"/>
        </w:rPr>
        <w:t xml:space="preserve">Mazza </w:t>
      </w:r>
      <w:r>
        <w:rPr>
          <w:lang w:val="en-US"/>
        </w:rPr>
        <w:t>and</w:t>
      </w:r>
      <w:r w:rsidRPr="00D76A1A">
        <w:rPr>
          <w:lang w:val="en-US"/>
        </w:rPr>
        <w:t xml:space="preserve"> Punzo (201</w:t>
      </w:r>
      <w:r w:rsidR="00AB4A6B">
        <w:rPr>
          <w:lang w:val="en-US"/>
        </w:rPr>
        <w:t>5</w:t>
      </w:r>
      <w:r w:rsidRPr="00D76A1A">
        <w:rPr>
          <w:lang w:val="en-US"/>
        </w:rPr>
        <w:t>)</w:t>
      </w:r>
      <w:r w:rsidRPr="00DB5982">
        <w:rPr>
          <w:lang w:val="en-US"/>
        </w:rPr>
        <w:t>.</w:t>
      </w:r>
    </w:p>
    <w:p w:rsidR="00B155DE" w:rsidRDefault="00B155DE" w:rsidP="00B155DE">
      <w:pPr>
        <w:pStyle w:val="SectionHeading"/>
        <w:tabs>
          <w:tab w:val="left" w:pos="284"/>
        </w:tabs>
        <w:ind w:left="284" w:hanging="284"/>
      </w:pPr>
      <w:r>
        <w:t>Conclusions</w:t>
      </w:r>
    </w:p>
    <w:p w:rsidR="00B155DE" w:rsidRDefault="00B155DE" w:rsidP="00B155DE">
      <w:pPr>
        <w:pStyle w:val="Maintext"/>
        <w:ind w:firstLine="284"/>
        <w:rPr>
          <w:rFonts w:eastAsiaTheme="minorHAnsi"/>
          <w:lang w:val="en-US"/>
        </w:rPr>
      </w:pPr>
      <w:r w:rsidRPr="00B155DE">
        <w:rPr>
          <w:rFonts w:eastAsia="Arial"/>
          <w:sz w:val="20"/>
        </w:rPr>
        <w:t xml:space="preserve">It has long been recognized that the sensitivity of the dissimilarity index of Duncan and Duncan (1955) to random allocation implies an upward bias, particularly evident with smaller unit sizes, small minority proportions and lower levels of segregation. </w:t>
      </w:r>
      <w:r>
        <w:rPr>
          <w:rFonts w:eastAsia="Arial"/>
          <w:sz w:val="20"/>
        </w:rPr>
        <w:t xml:space="preserve">Although </w:t>
      </w:r>
      <w:r w:rsidRPr="00F53E77">
        <w:rPr>
          <w:rFonts w:eastAsia="Arial"/>
          <w:noProof/>
          <w:sz w:val="20"/>
        </w:rPr>
        <w:t>several</w:t>
      </w:r>
      <w:r>
        <w:rPr>
          <w:rFonts w:eastAsia="Arial"/>
          <w:sz w:val="20"/>
        </w:rPr>
        <w:t xml:space="preserve"> b</w:t>
      </w:r>
      <w:r w:rsidRPr="00F53E77">
        <w:rPr>
          <w:rFonts w:eastAsia="Arial"/>
          <w:sz w:val="20"/>
        </w:rPr>
        <w:t xml:space="preserve">ias correction methods have been proposed, they </w:t>
      </w:r>
      <w:r>
        <w:rPr>
          <w:rFonts w:eastAsia="Arial"/>
          <w:sz w:val="20"/>
        </w:rPr>
        <w:t xml:space="preserve">typically </w:t>
      </w:r>
      <w:r w:rsidRPr="00F53E77">
        <w:rPr>
          <w:rFonts w:eastAsia="Arial"/>
          <w:sz w:val="20"/>
        </w:rPr>
        <w:t xml:space="preserve">require computation-intensive techniques and the lack of user-friendly computer programs has </w:t>
      </w:r>
      <w:r>
        <w:rPr>
          <w:rFonts w:eastAsia="Arial"/>
          <w:sz w:val="20"/>
        </w:rPr>
        <w:t xml:space="preserve">limited </w:t>
      </w:r>
      <w:r w:rsidRPr="00F53E77">
        <w:rPr>
          <w:rFonts w:eastAsia="Arial"/>
          <w:sz w:val="20"/>
        </w:rPr>
        <w:t>their adoption.</w:t>
      </w:r>
      <w:r>
        <w:rPr>
          <w:rFonts w:eastAsia="Arial"/>
          <w:sz w:val="20"/>
        </w:rPr>
        <w:t xml:space="preserve"> Hence, w</w:t>
      </w:r>
      <w:r w:rsidRPr="00F53E77">
        <w:rPr>
          <w:rFonts w:eastAsia="Arial"/>
          <w:sz w:val="20"/>
        </w:rPr>
        <w:t xml:space="preserve">e introduce an R package that allows for the computation of bias corrections based on bootstrap, iterated bootstrap, grouped jackknife, and on </w:t>
      </w:r>
      <w:r>
        <w:rPr>
          <w:rFonts w:eastAsia="Arial"/>
          <w:sz w:val="20"/>
        </w:rPr>
        <w:t>the</w:t>
      </w:r>
      <w:r w:rsidRPr="00F53E77">
        <w:rPr>
          <w:rFonts w:eastAsia="Arial"/>
          <w:sz w:val="20"/>
        </w:rPr>
        <w:t xml:space="preserve"> technique proposed </w:t>
      </w:r>
      <w:r>
        <w:rPr>
          <w:rFonts w:eastAsia="Arial"/>
          <w:sz w:val="20"/>
        </w:rPr>
        <w:t xml:space="preserve">in </w:t>
      </w:r>
      <w:r w:rsidRPr="00F53E77">
        <w:rPr>
          <w:rFonts w:eastAsia="Arial"/>
          <w:sz w:val="20"/>
        </w:rPr>
        <w:t xml:space="preserve">Mazza and Punzo </w:t>
      </w:r>
      <w:r>
        <w:rPr>
          <w:rFonts w:eastAsia="Arial"/>
          <w:sz w:val="20"/>
        </w:rPr>
        <w:t>(</w:t>
      </w:r>
      <w:r w:rsidRPr="00F53E77">
        <w:rPr>
          <w:rFonts w:eastAsia="Arial"/>
          <w:sz w:val="20"/>
        </w:rPr>
        <w:t>201</w:t>
      </w:r>
      <w:r w:rsidR="00AB4A6B">
        <w:rPr>
          <w:rFonts w:eastAsia="Arial"/>
          <w:sz w:val="20"/>
        </w:rPr>
        <w:t>5</w:t>
      </w:r>
      <w:r>
        <w:rPr>
          <w:rFonts w:eastAsia="Arial"/>
          <w:sz w:val="20"/>
        </w:rPr>
        <w:t>)</w:t>
      </w:r>
      <w:r w:rsidRPr="00F53E77">
        <w:rPr>
          <w:rFonts w:eastAsia="Arial"/>
          <w:sz w:val="20"/>
        </w:rPr>
        <w:t xml:space="preserve">. </w:t>
      </w:r>
    </w:p>
    <w:p w:rsidR="00B155DE" w:rsidRDefault="00B155DE" w:rsidP="00B155DE">
      <w:pPr>
        <w:keepNext/>
        <w:rPr>
          <w:lang w:val="en-US"/>
        </w:rPr>
      </w:pPr>
    </w:p>
    <w:p w:rsidR="00A149DC" w:rsidRPr="00C8624E" w:rsidRDefault="00A149DC">
      <w:pPr>
        <w:pStyle w:val="References"/>
      </w:pPr>
      <w:r w:rsidRPr="00C8624E">
        <w:t>References</w:t>
      </w:r>
    </w:p>
    <w:p w:rsidR="00FF654D" w:rsidRDefault="00FF654D" w:rsidP="00FF654D">
      <w:pPr>
        <w:pStyle w:val="Referenceslist"/>
      </w:pPr>
      <w:r w:rsidRPr="00FF654D">
        <w:t>Allen, R.</w:t>
      </w:r>
      <w:r>
        <w:t>, S. Burgess, and F. Windmeijer:</w:t>
      </w:r>
      <w:r w:rsidRPr="00FF654D">
        <w:t xml:space="preserve"> More Reliable Inference for Segregation Indices. Technical Report 216, The Centre for Market and Public Organisation, University of Bristol, Bristol, UK</w:t>
      </w:r>
      <w:r>
        <w:t xml:space="preserve"> </w:t>
      </w:r>
      <w:r>
        <w:t>(</w:t>
      </w:r>
      <w:r w:rsidRPr="00FF654D">
        <w:t>2009</w:t>
      </w:r>
      <w:r>
        <w:t>)</w:t>
      </w:r>
    </w:p>
    <w:p w:rsidR="00FF654D" w:rsidRPr="00FF654D" w:rsidRDefault="00FF654D" w:rsidP="00FF654D">
      <w:pPr>
        <w:pStyle w:val="Referenceslist"/>
        <w:rPr>
          <w:lang w:val="it-IT"/>
        </w:rPr>
      </w:pPr>
      <w:r w:rsidRPr="00FF654D">
        <w:rPr>
          <w:lang w:val="it-IT"/>
        </w:rPr>
        <w:t>Altavilla A.M., Mazza A., Punzo A.</w:t>
      </w:r>
      <w:r>
        <w:rPr>
          <w:lang w:val="it-IT"/>
        </w:rPr>
        <w:t>:</w:t>
      </w:r>
      <w:r w:rsidRPr="00FF654D">
        <w:rPr>
          <w:lang w:val="it-IT"/>
        </w:rPr>
        <w:t xml:space="preserve"> Sull’impiego di un </w:t>
      </w:r>
      <w:r w:rsidRPr="00486749">
        <w:rPr>
          <w:noProof/>
          <w:lang w:val="it-IT"/>
        </w:rPr>
        <w:t>indice</w:t>
      </w:r>
      <w:r w:rsidRPr="00FF654D">
        <w:rPr>
          <w:lang w:val="it-IT"/>
        </w:rPr>
        <w:t xml:space="preserve"> di dissimilarità </w:t>
      </w:r>
      <w:r w:rsidRPr="00486749">
        <w:rPr>
          <w:noProof/>
          <w:lang w:val="it-IT"/>
        </w:rPr>
        <w:t>nello</w:t>
      </w:r>
      <w:r w:rsidRPr="00FF654D">
        <w:rPr>
          <w:lang w:val="it-IT"/>
        </w:rPr>
        <w:t xml:space="preserve"> studio </w:t>
      </w:r>
      <w:r w:rsidRPr="00486749">
        <w:rPr>
          <w:noProof/>
          <w:lang w:val="it-IT"/>
        </w:rPr>
        <w:t>della</w:t>
      </w:r>
      <w:r w:rsidRPr="00FF654D">
        <w:rPr>
          <w:lang w:val="it-IT"/>
        </w:rPr>
        <w:t xml:space="preserve"> </w:t>
      </w:r>
      <w:r w:rsidRPr="00486749">
        <w:rPr>
          <w:noProof/>
          <w:lang w:val="it-IT"/>
        </w:rPr>
        <w:t>disposizione</w:t>
      </w:r>
      <w:r w:rsidRPr="00FF654D">
        <w:rPr>
          <w:lang w:val="it-IT"/>
        </w:rPr>
        <w:t xml:space="preserve"> di </w:t>
      </w:r>
      <w:r w:rsidRPr="00486749">
        <w:rPr>
          <w:noProof/>
          <w:lang w:val="it-IT"/>
        </w:rPr>
        <w:t>popolazioni</w:t>
      </w:r>
      <w:r w:rsidRPr="00FF654D">
        <w:rPr>
          <w:lang w:val="it-IT"/>
        </w:rPr>
        <w:t xml:space="preserve"> </w:t>
      </w:r>
      <w:r w:rsidRPr="00486749">
        <w:rPr>
          <w:noProof/>
          <w:lang w:val="it-IT"/>
        </w:rPr>
        <w:t>straniere</w:t>
      </w:r>
      <w:r w:rsidRPr="00FF654D">
        <w:rPr>
          <w:lang w:val="it-IT"/>
        </w:rPr>
        <w:t xml:space="preserve"> </w:t>
      </w:r>
      <w:r w:rsidRPr="00486749">
        <w:rPr>
          <w:noProof/>
          <w:lang w:val="it-IT"/>
        </w:rPr>
        <w:t>su</w:t>
      </w:r>
      <w:r w:rsidRPr="00FF654D">
        <w:rPr>
          <w:lang w:val="it-IT"/>
        </w:rPr>
        <w:t xml:space="preserve"> un </w:t>
      </w:r>
      <w:r w:rsidRPr="00486749">
        <w:rPr>
          <w:noProof/>
          <w:lang w:val="it-IT"/>
        </w:rPr>
        <w:t>territorio</w:t>
      </w:r>
      <w:r w:rsidRPr="00FF654D">
        <w:rPr>
          <w:lang w:val="it-IT"/>
        </w:rPr>
        <w:t xml:space="preserve"> </w:t>
      </w:r>
      <w:r w:rsidRPr="00486749">
        <w:rPr>
          <w:noProof/>
          <w:lang w:val="it-IT"/>
        </w:rPr>
        <w:t>urbano</w:t>
      </w:r>
      <w:r w:rsidRPr="00FF654D">
        <w:rPr>
          <w:lang w:val="it-IT"/>
        </w:rPr>
        <w:t>. Rivista Italiana di Economia, Demografia e Statistica, vol. LXIV, p. 7-14</w:t>
      </w:r>
      <w:r>
        <w:rPr>
          <w:lang w:val="it-IT"/>
        </w:rPr>
        <w:t xml:space="preserve"> </w:t>
      </w:r>
      <w:r w:rsidRPr="00FF654D">
        <w:rPr>
          <w:lang w:val="it-IT"/>
        </w:rPr>
        <w:t>(2010)</w:t>
      </w:r>
    </w:p>
    <w:p w:rsidR="00FF654D" w:rsidRDefault="00FF654D" w:rsidP="005C04D2">
      <w:pPr>
        <w:pStyle w:val="Referenceslist"/>
      </w:pPr>
      <w:r>
        <w:t>Duncan, O. D. an</w:t>
      </w:r>
      <w:r>
        <w:t>d B. Duncan:</w:t>
      </w:r>
      <w:r>
        <w:t xml:space="preserve"> A Methodological Analysis of Segregation</w:t>
      </w:r>
      <w:r>
        <w:t xml:space="preserve"> </w:t>
      </w:r>
      <w:r>
        <w:t>Indexes. American Sociological Review 20:210-217</w:t>
      </w:r>
      <w:r>
        <w:t xml:space="preserve"> (</w:t>
      </w:r>
      <w:r>
        <w:t>1955</w:t>
      </w:r>
      <w:r>
        <w:t>)</w:t>
      </w:r>
    </w:p>
    <w:p w:rsidR="00FF654D" w:rsidRDefault="00FF654D" w:rsidP="00FF654D">
      <w:pPr>
        <w:pStyle w:val="Referenceslist"/>
        <w:tabs>
          <w:tab w:val="left" w:pos="360"/>
        </w:tabs>
      </w:pPr>
      <w:r w:rsidRPr="00FF654D">
        <w:t>Massey D. S., Denton, N. A.</w:t>
      </w:r>
      <w:r>
        <w:t>:</w:t>
      </w:r>
      <w:r w:rsidRPr="00FF654D">
        <w:t xml:space="preserve"> The dimensions of residential segregation. Social Forces, 67(2), 281–315</w:t>
      </w:r>
      <w:r>
        <w:t xml:space="preserve"> </w:t>
      </w:r>
      <w:r w:rsidRPr="00FF654D">
        <w:t>(1988)</w:t>
      </w:r>
    </w:p>
    <w:p w:rsidR="00C334DD" w:rsidRPr="00C8624E" w:rsidRDefault="006D3267" w:rsidP="00C334DD">
      <w:pPr>
        <w:pStyle w:val="Referenceslist"/>
        <w:tabs>
          <w:tab w:val="left" w:pos="360"/>
        </w:tabs>
      </w:pPr>
      <w:r w:rsidRPr="00C8624E">
        <w:t xml:space="preserve">Mazza, A., </w:t>
      </w:r>
      <w:r w:rsidR="00C334DD" w:rsidRPr="00C8624E">
        <w:t>Punzo, A.</w:t>
      </w:r>
      <w:r w:rsidRPr="00C8624E">
        <w:t>:</w:t>
      </w:r>
      <w:r w:rsidR="00C334DD" w:rsidRPr="00C8624E">
        <w:t xml:space="preserve"> On the upward bias of the dissimilarity index and its corrections. Sociological Methods &amp; Research 44(1): 80–107</w:t>
      </w:r>
      <w:r w:rsidRPr="00C8624E">
        <w:t xml:space="preserve"> (2015).</w:t>
      </w:r>
    </w:p>
    <w:p w:rsidR="00C334DD" w:rsidRPr="00C8624E" w:rsidRDefault="00C334DD" w:rsidP="00C334DD">
      <w:pPr>
        <w:pStyle w:val="Referenceslist"/>
        <w:tabs>
          <w:tab w:val="left" w:pos="360"/>
        </w:tabs>
      </w:pPr>
      <w:r w:rsidRPr="00C8624E">
        <w:t>R Core Team</w:t>
      </w:r>
      <w:r w:rsidR="00AB4A6B">
        <w:t>.</w:t>
      </w:r>
      <w:r w:rsidRPr="00C8624E">
        <w:t xml:space="preserve"> R: A Language and Environment for Statistical Computing. R Foundation for Statistical Computing, Vienna, Austria. URL </w:t>
      </w:r>
      <w:hyperlink r:id="rId12" w:history="1">
        <w:r w:rsidR="001F0641" w:rsidRPr="00C8624E">
          <w:rPr>
            <w:rStyle w:val="Collegamentoipertestuale"/>
          </w:rPr>
          <w:t>http://www.R-project.org/</w:t>
        </w:r>
      </w:hyperlink>
      <w:r w:rsidR="001F0641" w:rsidRPr="00C8624E">
        <w:t xml:space="preserve"> (2017).</w:t>
      </w:r>
    </w:p>
    <w:sectPr w:rsidR="00C334DD" w:rsidRPr="00C8624E" w:rsidSect="000420BB">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AA" w:rsidRDefault="00E81EAA">
      <w:r>
        <w:separator/>
      </w:r>
    </w:p>
  </w:endnote>
  <w:endnote w:type="continuationSeparator" w:id="0">
    <w:p w:rsidR="00E81EAA" w:rsidRDefault="00E8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B" w:rsidRDefault="00AB4A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B" w:rsidRDefault="00AB4A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B" w:rsidRDefault="00AB4A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AA" w:rsidRDefault="00E81EAA">
      <w:r>
        <w:separator/>
      </w:r>
    </w:p>
  </w:footnote>
  <w:footnote w:type="continuationSeparator" w:id="0">
    <w:p w:rsidR="00E81EAA" w:rsidRDefault="00E8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13" w:rsidRPr="00CE20B7" w:rsidRDefault="00016F13">
    <w:pPr>
      <w:pStyle w:val="Intestazione"/>
      <w:tabs>
        <w:tab w:val="clear" w:pos="4819"/>
        <w:tab w:val="center" w:pos="5103"/>
      </w:tabs>
      <w:spacing w:before="1200"/>
      <w:rPr>
        <w:rStyle w:val="Numeropagina"/>
        <w:sz w:val="16"/>
        <w:lang w:val="it-IT"/>
      </w:rPr>
    </w:pPr>
    <w:bookmarkStart w:id="2" w:name="_GoBack"/>
    <w:bookmarkEnd w:id="2"/>
    <w:r w:rsidRPr="00CE20B7">
      <w:rPr>
        <w:rStyle w:val="Numeropagina"/>
        <w:sz w:val="16"/>
        <w:lang w:val="it-IT"/>
      </w:rPr>
      <w:t xml:space="preserve"> PAGE </w:t>
    </w:r>
    <w:r>
      <w:rPr>
        <w:rStyle w:val="Numeropagina"/>
        <w:noProof/>
        <w:sz w:val="16"/>
        <w:lang w:val="it-IT"/>
      </w:rPr>
      <w:t>4</w:t>
    </w:r>
    <w:r w:rsidRPr="00CE20B7">
      <w:rPr>
        <w:rStyle w:val="Numeropagina"/>
        <w:sz w:val="16"/>
        <w:lang w:val="it-IT"/>
      </w:rPr>
      <w:tab/>
    </w:r>
    <w:r>
      <w:rPr>
        <w:rStyle w:val="Numeropagina"/>
        <w:sz w:val="16"/>
        <w:lang w:val="it-IT"/>
      </w:rPr>
      <w:t>A</w:t>
    </w:r>
    <w:r w:rsidR="00AB4A6B">
      <w:rPr>
        <w:rStyle w:val="Numeropagina"/>
        <w:sz w:val="16"/>
        <w:lang w:val="it-IT"/>
      </w:rPr>
      <w:t xml:space="preserve">ngelo Mazza </w:t>
    </w:r>
    <w:r w:rsidRPr="00CE20B7">
      <w:rPr>
        <w:rStyle w:val="Numeropagina"/>
        <w:sz w:val="16"/>
        <w:lang w:val="it-IT"/>
      </w:rPr>
      <w:t xml:space="preserve">and </w:t>
    </w:r>
    <w:r w:rsidR="00AB4A6B">
      <w:rPr>
        <w:rStyle w:val="Numeropagina"/>
        <w:sz w:val="16"/>
        <w:lang w:val="it-IT"/>
      </w:rPr>
      <w:t>Antonio Punzo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13" w:rsidRDefault="00016F13">
    <w:pPr>
      <w:pStyle w:val="Intestazione"/>
      <w:tabs>
        <w:tab w:val="clear" w:pos="4819"/>
        <w:tab w:val="center" w:pos="6237"/>
      </w:tabs>
      <w:spacing w:before="1200"/>
    </w:pPr>
    <w:r w:rsidRPr="008B14F2">
      <w:rPr>
        <w:sz w:val="16"/>
      </w:rPr>
      <w:t>SPATIAL CLUSTERING OF MIGRANT HOUSEHOLDS IN THE MESSINA CITY</w:t>
    </w:r>
    <w:r>
      <w:rPr>
        <w:sz w:val="16"/>
      </w:rPr>
      <w:tab/>
    </w:r>
    <w:r>
      <w:rPr>
        <w:rStyle w:val="Numeropagina"/>
        <w:sz w:val="16"/>
      </w:rPr>
      <w:t xml:space="preserve"> PAGE </w:t>
    </w:r>
    <w:r>
      <w:rPr>
        <w:rStyle w:val="Numeropagina"/>
        <w:noProof/>
        <w:sz w:val="16"/>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B" w:rsidRDefault="00AB4A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D793658"/>
    <w:multiLevelType w:val="multilevel"/>
    <w:tmpl w:val="46BE41BE"/>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MLUwNzA1tTC1NDNV0lEKTi0uzszPAykwrgUAi31F6iwAAAA="/>
  </w:docVars>
  <w:rsids>
    <w:rsidRoot w:val="00A856F7"/>
    <w:rsid w:val="00007626"/>
    <w:rsid w:val="00016F13"/>
    <w:rsid w:val="000216F1"/>
    <w:rsid w:val="000420BB"/>
    <w:rsid w:val="000A57FA"/>
    <w:rsid w:val="000E1593"/>
    <w:rsid w:val="00103E49"/>
    <w:rsid w:val="00114064"/>
    <w:rsid w:val="00124376"/>
    <w:rsid w:val="00135596"/>
    <w:rsid w:val="00165FBF"/>
    <w:rsid w:val="001709D9"/>
    <w:rsid w:val="001776F1"/>
    <w:rsid w:val="001957EC"/>
    <w:rsid w:val="001A4EF9"/>
    <w:rsid w:val="001B69A9"/>
    <w:rsid w:val="001F0641"/>
    <w:rsid w:val="0021517D"/>
    <w:rsid w:val="002416E2"/>
    <w:rsid w:val="00253E23"/>
    <w:rsid w:val="00267D94"/>
    <w:rsid w:val="00274762"/>
    <w:rsid w:val="002861E2"/>
    <w:rsid w:val="002A5520"/>
    <w:rsid w:val="002C7740"/>
    <w:rsid w:val="002D281D"/>
    <w:rsid w:val="0037591A"/>
    <w:rsid w:val="003C266F"/>
    <w:rsid w:val="003E734F"/>
    <w:rsid w:val="00410265"/>
    <w:rsid w:val="00486749"/>
    <w:rsid w:val="004B0FC2"/>
    <w:rsid w:val="004B61A3"/>
    <w:rsid w:val="004D5CDB"/>
    <w:rsid w:val="00514653"/>
    <w:rsid w:val="005465E0"/>
    <w:rsid w:val="00566302"/>
    <w:rsid w:val="005A08BB"/>
    <w:rsid w:val="005A5F60"/>
    <w:rsid w:val="005D19F1"/>
    <w:rsid w:val="005F556B"/>
    <w:rsid w:val="00674906"/>
    <w:rsid w:val="00687028"/>
    <w:rsid w:val="0069648D"/>
    <w:rsid w:val="006B0A32"/>
    <w:rsid w:val="006B26D0"/>
    <w:rsid w:val="006B362E"/>
    <w:rsid w:val="006B60DE"/>
    <w:rsid w:val="006D3267"/>
    <w:rsid w:val="006E48DD"/>
    <w:rsid w:val="00797283"/>
    <w:rsid w:val="007C617A"/>
    <w:rsid w:val="007E1F8C"/>
    <w:rsid w:val="007F6C94"/>
    <w:rsid w:val="00824493"/>
    <w:rsid w:val="0083128C"/>
    <w:rsid w:val="008809B7"/>
    <w:rsid w:val="008B14F2"/>
    <w:rsid w:val="008E1E92"/>
    <w:rsid w:val="008E2779"/>
    <w:rsid w:val="00917F48"/>
    <w:rsid w:val="009A2BC0"/>
    <w:rsid w:val="009C19FC"/>
    <w:rsid w:val="009C485C"/>
    <w:rsid w:val="009D0E2A"/>
    <w:rsid w:val="009F729B"/>
    <w:rsid w:val="00A059F6"/>
    <w:rsid w:val="00A149B1"/>
    <w:rsid w:val="00A149DC"/>
    <w:rsid w:val="00A816B3"/>
    <w:rsid w:val="00A856F7"/>
    <w:rsid w:val="00AA35DC"/>
    <w:rsid w:val="00AB0A72"/>
    <w:rsid w:val="00AB4A6B"/>
    <w:rsid w:val="00AB54F1"/>
    <w:rsid w:val="00AE07FA"/>
    <w:rsid w:val="00B13F5B"/>
    <w:rsid w:val="00B155DE"/>
    <w:rsid w:val="00B45649"/>
    <w:rsid w:val="00B57475"/>
    <w:rsid w:val="00B61248"/>
    <w:rsid w:val="00B85B6A"/>
    <w:rsid w:val="00BA6021"/>
    <w:rsid w:val="00C334DD"/>
    <w:rsid w:val="00C36678"/>
    <w:rsid w:val="00C71975"/>
    <w:rsid w:val="00C8624E"/>
    <w:rsid w:val="00CA757B"/>
    <w:rsid w:val="00CE20B7"/>
    <w:rsid w:val="00D06305"/>
    <w:rsid w:val="00D46D55"/>
    <w:rsid w:val="00D55A10"/>
    <w:rsid w:val="00D8151E"/>
    <w:rsid w:val="00D841C7"/>
    <w:rsid w:val="00DC3080"/>
    <w:rsid w:val="00DD6129"/>
    <w:rsid w:val="00DF1D38"/>
    <w:rsid w:val="00E01798"/>
    <w:rsid w:val="00E059D7"/>
    <w:rsid w:val="00E14F4F"/>
    <w:rsid w:val="00E23C9B"/>
    <w:rsid w:val="00E43556"/>
    <w:rsid w:val="00E5357A"/>
    <w:rsid w:val="00E81EAA"/>
    <w:rsid w:val="00E82F20"/>
    <w:rsid w:val="00EC0A90"/>
    <w:rsid w:val="00EC3EED"/>
    <w:rsid w:val="00EC78EF"/>
    <w:rsid w:val="00ED3FC7"/>
    <w:rsid w:val="00F0684F"/>
    <w:rsid w:val="00F11010"/>
    <w:rsid w:val="00F178FE"/>
    <w:rsid w:val="00F22574"/>
    <w:rsid w:val="00F2529C"/>
    <w:rsid w:val="00F42E0B"/>
    <w:rsid w:val="00F53E77"/>
    <w:rsid w:val="00FA1D8A"/>
    <w:rsid w:val="00FA7C0B"/>
    <w:rsid w:val="00FE51F1"/>
    <w:rsid w:val="00FF312F"/>
    <w:rsid w:val="00FF6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F682"/>
  <w15:docId w15:val="{68A0DAEA-24F3-45BF-B56E-FF9CFA3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link w:val="Titolo1Carattere"/>
    <w:uiPriority w:val="9"/>
    <w:qFormat/>
    <w:pPr>
      <w:keepNext/>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uiPriority w:val="9"/>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E14F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4F"/>
    <w:rPr>
      <w:rFonts w:ascii="Tahoma" w:hAnsi="Tahoma" w:cs="Tahoma"/>
      <w:sz w:val="16"/>
      <w:szCs w:val="16"/>
      <w:lang w:val="en-GB" w:eastAsia="ar-SA"/>
    </w:rPr>
  </w:style>
  <w:style w:type="character" w:styleId="Testosegnaposto">
    <w:name w:val="Placeholder Text"/>
    <w:basedOn w:val="Carpredefinitoparagrafo"/>
    <w:uiPriority w:val="99"/>
    <w:semiHidden/>
    <w:rsid w:val="00267D94"/>
    <w:rPr>
      <w:color w:val="808080"/>
    </w:rPr>
  </w:style>
  <w:style w:type="table" w:styleId="Grigliatabella">
    <w:name w:val="Table Grid"/>
    <w:basedOn w:val="Tabellanormale"/>
    <w:rsid w:val="00F53E77"/>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F53E77"/>
    <w:rPr>
      <w:rFonts w:ascii="Arial" w:hAnsi="Arial" w:cs="Arial"/>
      <w:b/>
      <w:bCs/>
      <w:i/>
      <w:iCs/>
      <w:sz w:val="28"/>
      <w:szCs w:val="28"/>
      <w:lang w:val="en-GB" w:eastAsia="ar-SA"/>
    </w:rPr>
  </w:style>
  <w:style w:type="character" w:customStyle="1" w:styleId="Titolo1Carattere">
    <w:name w:val="Titolo 1 Carattere"/>
    <w:basedOn w:val="Carpredefinitoparagrafo"/>
    <w:link w:val="Titolo1"/>
    <w:uiPriority w:val="9"/>
    <w:rsid w:val="00F53E77"/>
    <w:rPr>
      <w:rFonts w:ascii="Arial" w:hAnsi="Arial" w:cs="Arial"/>
      <w:b/>
      <w:bCs/>
      <w:kern w:val="1"/>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rojec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E4EA-2D03-4FA3-8B85-62DAC06B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1372</Words>
  <Characters>7827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creator>Referee1</dc:creator>
  <cp:lastModifiedBy>Angelo Mazza</cp:lastModifiedBy>
  <cp:revision>5</cp:revision>
  <cp:lastPrinted>2008-02-01T15:00:00Z</cp:lastPrinted>
  <dcterms:created xsi:type="dcterms:W3CDTF">2018-02-27T12:16:00Z</dcterms:created>
  <dcterms:modified xsi:type="dcterms:W3CDTF">2018-02-28T08:57:00Z</dcterms:modified>
</cp:coreProperties>
</file>