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DD" w:rsidRPr="00C8624E" w:rsidRDefault="006E48DD" w:rsidP="004B0FC2">
      <w:pPr>
        <w:pStyle w:val="Papertitle"/>
        <w:spacing w:after="240" w:line="360" w:lineRule="auto"/>
        <w:rPr>
          <w:sz w:val="32"/>
          <w:lang w:val="en-GB"/>
        </w:rPr>
      </w:pPr>
      <w:r w:rsidRPr="00C8624E">
        <w:rPr>
          <w:sz w:val="32"/>
          <w:lang w:val="en-GB"/>
        </w:rPr>
        <w:t xml:space="preserve">SPATIAL </w:t>
      </w:r>
      <w:r w:rsidR="00F0684F" w:rsidRPr="00C8624E">
        <w:rPr>
          <w:sz w:val="32"/>
          <w:lang w:val="en-GB"/>
        </w:rPr>
        <w:t>SEGREGATION</w:t>
      </w:r>
      <w:r w:rsidRPr="00C8624E">
        <w:rPr>
          <w:sz w:val="32"/>
          <w:lang w:val="en-GB"/>
        </w:rPr>
        <w:t xml:space="preserve"> OF</w:t>
      </w:r>
      <w:r w:rsidR="00E059D7" w:rsidRPr="00C8624E">
        <w:rPr>
          <w:sz w:val="32"/>
          <w:lang w:val="en-GB"/>
        </w:rPr>
        <w:t xml:space="preserve"> </w:t>
      </w:r>
      <w:r w:rsidR="00F0684F" w:rsidRPr="00C8624E">
        <w:rPr>
          <w:sz w:val="32"/>
          <w:lang w:val="en-GB"/>
        </w:rPr>
        <w:t>IM</w:t>
      </w:r>
      <w:r w:rsidRPr="00C8624E">
        <w:rPr>
          <w:sz w:val="32"/>
          <w:lang w:val="en-GB"/>
        </w:rPr>
        <w:t>MIGRANT HOUSEHOLDS</w:t>
      </w:r>
      <w:r w:rsidR="00FF312F" w:rsidRPr="00C8624E">
        <w:rPr>
          <w:sz w:val="32"/>
          <w:lang w:val="en-GB"/>
        </w:rPr>
        <w:t xml:space="preserve"> IN MESSINA </w:t>
      </w:r>
    </w:p>
    <w:p w:rsidR="00AB54F1" w:rsidRPr="006E48DD" w:rsidRDefault="00F0684F" w:rsidP="004B0FC2">
      <w:pPr>
        <w:pStyle w:val="Papertitle"/>
        <w:spacing w:after="240" w:line="360" w:lineRule="auto"/>
        <w:rPr>
          <w:i/>
          <w:sz w:val="28"/>
        </w:rPr>
      </w:pPr>
      <w:r w:rsidRPr="00C8624E">
        <w:rPr>
          <w:i/>
          <w:noProof/>
          <w:sz w:val="28"/>
        </w:rPr>
        <w:t>Segregazione</w:t>
      </w:r>
      <w:r w:rsidRPr="00C8624E">
        <w:rPr>
          <w:i/>
          <w:sz w:val="28"/>
        </w:rPr>
        <w:t xml:space="preserve"> </w:t>
      </w:r>
      <w:r w:rsidRPr="00C8624E">
        <w:rPr>
          <w:i/>
          <w:noProof/>
          <w:sz w:val="28"/>
        </w:rPr>
        <w:t>spaziale</w:t>
      </w:r>
      <w:r w:rsidRPr="00C8624E">
        <w:rPr>
          <w:i/>
          <w:sz w:val="28"/>
        </w:rPr>
        <w:t xml:space="preserve"> </w:t>
      </w:r>
      <w:r w:rsidR="00E059D7" w:rsidRPr="00C8624E">
        <w:rPr>
          <w:i/>
          <w:noProof/>
          <w:sz w:val="28"/>
        </w:rPr>
        <w:t>d</w:t>
      </w:r>
      <w:r w:rsidRPr="00C8624E">
        <w:rPr>
          <w:i/>
          <w:noProof/>
          <w:sz w:val="28"/>
        </w:rPr>
        <w:t>elle</w:t>
      </w:r>
      <w:r w:rsidR="00E059D7" w:rsidRPr="00C8624E">
        <w:rPr>
          <w:i/>
          <w:sz w:val="28"/>
        </w:rPr>
        <w:t xml:space="preserve"> </w:t>
      </w:r>
      <w:r w:rsidR="00E059D7" w:rsidRPr="00C8624E">
        <w:rPr>
          <w:i/>
          <w:noProof/>
          <w:sz w:val="28"/>
        </w:rPr>
        <w:t>famiglie</w:t>
      </w:r>
      <w:r w:rsidR="00E059D7" w:rsidRPr="00C8624E">
        <w:rPr>
          <w:i/>
          <w:sz w:val="28"/>
        </w:rPr>
        <w:t xml:space="preserve"> </w:t>
      </w:r>
      <w:r w:rsidR="006E48DD" w:rsidRPr="00C8624E">
        <w:rPr>
          <w:i/>
          <w:sz w:val="28"/>
        </w:rPr>
        <w:t xml:space="preserve">di </w:t>
      </w:r>
      <w:r w:rsidR="006E48DD" w:rsidRPr="00C8624E">
        <w:rPr>
          <w:i/>
          <w:noProof/>
          <w:sz w:val="28"/>
        </w:rPr>
        <w:t>immigrati</w:t>
      </w:r>
      <w:r w:rsidR="00FF312F" w:rsidRPr="00C8624E">
        <w:rPr>
          <w:i/>
          <w:sz w:val="28"/>
        </w:rPr>
        <w:t xml:space="preserve"> </w:t>
      </w:r>
      <w:r w:rsidR="00FF312F" w:rsidRPr="00C8624E">
        <w:rPr>
          <w:i/>
          <w:noProof/>
          <w:sz w:val="28"/>
        </w:rPr>
        <w:t>nella</w:t>
      </w:r>
      <w:r w:rsidR="00FF312F" w:rsidRPr="00C8624E">
        <w:rPr>
          <w:i/>
          <w:sz w:val="28"/>
        </w:rPr>
        <w:t xml:space="preserve"> città di Messina</w:t>
      </w:r>
      <w:r w:rsidR="00FF312F">
        <w:rPr>
          <w:i/>
          <w:sz w:val="28"/>
        </w:rPr>
        <w:t xml:space="preserve"> </w:t>
      </w:r>
    </w:p>
    <w:p w:rsidR="00A149DC" w:rsidRPr="00C8624E" w:rsidRDefault="00FF312F" w:rsidP="005D19F1">
      <w:pPr>
        <w:pStyle w:val="Author"/>
        <w:spacing w:after="2160"/>
        <w:rPr>
          <w:b/>
          <w:bCs/>
          <w:sz w:val="20"/>
          <w:szCs w:val="20"/>
          <w:lang w:val="en-US"/>
        </w:rPr>
      </w:pPr>
      <w:r w:rsidRPr="00C8624E">
        <w:rPr>
          <w:sz w:val="20"/>
          <w:szCs w:val="20"/>
          <w:lang w:val="en-US"/>
        </w:rPr>
        <w:t>Angelo Mazza</w:t>
      </w:r>
      <w:r w:rsidR="00E23C9B" w:rsidRPr="00C8624E">
        <w:rPr>
          <w:noProof/>
          <w:sz w:val="20"/>
          <w:szCs w:val="20"/>
          <w:lang w:val="en-US"/>
        </w:rPr>
        <w:t xml:space="preserve"> and</w:t>
      </w:r>
      <w:r w:rsidR="006E48DD" w:rsidRPr="00C8624E">
        <w:rPr>
          <w:sz w:val="20"/>
          <w:szCs w:val="20"/>
          <w:lang w:val="en-US"/>
        </w:rPr>
        <w:t xml:space="preserve"> </w:t>
      </w:r>
      <w:r w:rsidR="00E23C9B" w:rsidRPr="00C8624E">
        <w:rPr>
          <w:sz w:val="20"/>
          <w:szCs w:val="20"/>
          <w:lang w:val="en-US"/>
        </w:rPr>
        <w:t>Massimo Mucciardi</w:t>
      </w:r>
    </w:p>
    <w:p w:rsidR="00F0684F" w:rsidRPr="00C8624E" w:rsidRDefault="00A149DC" w:rsidP="00F0684F">
      <w:pPr>
        <w:pStyle w:val="Maintext"/>
        <w:rPr>
          <w:sz w:val="20"/>
        </w:rPr>
      </w:pPr>
      <w:r w:rsidRPr="00C8624E">
        <w:rPr>
          <w:b/>
          <w:bCs/>
          <w:sz w:val="20"/>
        </w:rPr>
        <w:t>Abstract</w:t>
      </w:r>
      <w:r w:rsidR="009C19FC" w:rsidRPr="00C8624E">
        <w:rPr>
          <w:b/>
          <w:bCs/>
          <w:sz w:val="20"/>
        </w:rPr>
        <w:t xml:space="preserve"> </w:t>
      </w:r>
      <w:r w:rsidR="00F0684F" w:rsidRPr="00C8624E">
        <w:rPr>
          <w:sz w:val="20"/>
        </w:rPr>
        <w:t xml:space="preserve">We investigate spatial segregation of the most representative groups of foreign immigrants in the city of Messina. </w:t>
      </w:r>
    </w:p>
    <w:p w:rsidR="00A149DC" w:rsidRPr="00C8624E" w:rsidRDefault="00F0684F">
      <w:pPr>
        <w:pStyle w:val="Maintext"/>
        <w:rPr>
          <w:sz w:val="20"/>
          <w:lang w:val="en-US"/>
        </w:rPr>
      </w:pPr>
      <w:r w:rsidRPr="00C8624E">
        <w:rPr>
          <w:sz w:val="20"/>
        </w:rPr>
        <w:t>We u</w:t>
      </w:r>
      <w:r w:rsidR="00D46D55" w:rsidRPr="00C8624E">
        <w:rPr>
          <w:sz w:val="20"/>
        </w:rPr>
        <w:t>se</w:t>
      </w:r>
      <w:r w:rsidRPr="00C8624E">
        <w:rPr>
          <w:sz w:val="20"/>
        </w:rPr>
        <w:t xml:space="preserve"> spatial </w:t>
      </w:r>
      <w:r w:rsidRPr="00C8624E">
        <w:rPr>
          <w:noProof/>
          <w:sz w:val="20"/>
          <w:lang w:val="en-US"/>
        </w:rPr>
        <w:t>modeling</w:t>
      </w:r>
      <w:r w:rsidRPr="00C8624E">
        <w:rPr>
          <w:sz w:val="20"/>
        </w:rPr>
        <w:t xml:space="preserve"> with point level data to assess attraction among migrants’ households</w:t>
      </w:r>
      <w:r w:rsidR="00AE07FA" w:rsidRPr="00C8624E">
        <w:rPr>
          <w:sz w:val="20"/>
        </w:rPr>
        <w:t xml:space="preserve"> of the same ethnicity</w:t>
      </w:r>
      <w:r w:rsidRPr="00C8624E">
        <w:rPr>
          <w:sz w:val="20"/>
        </w:rPr>
        <w:t xml:space="preserve"> while adjusting for spatial inhomogeneity in the cost of housing</w:t>
      </w:r>
      <w:r w:rsidR="00AE07FA" w:rsidRPr="00C8624E">
        <w:rPr>
          <w:sz w:val="20"/>
        </w:rPr>
        <w:t>, job availability</w:t>
      </w:r>
      <w:r w:rsidRPr="00C8624E">
        <w:rPr>
          <w:sz w:val="20"/>
        </w:rPr>
        <w:t xml:space="preserve"> and other factors</w:t>
      </w:r>
      <w:r w:rsidR="007E1F8C" w:rsidRPr="00C8624E">
        <w:rPr>
          <w:sz w:val="20"/>
        </w:rPr>
        <w:t>.</w:t>
      </w:r>
      <w:r w:rsidRPr="00C8624E">
        <w:rPr>
          <w:sz w:val="20"/>
        </w:rPr>
        <w:t xml:space="preserve"> </w:t>
      </w:r>
      <w:r w:rsidR="00DD6129" w:rsidRPr="00C8624E">
        <w:rPr>
          <w:sz w:val="20"/>
        </w:rPr>
        <w:t>This work is still in progress</w:t>
      </w:r>
      <w:r w:rsidR="00C8624E">
        <w:rPr>
          <w:sz w:val="20"/>
        </w:rPr>
        <w:t>; f</w:t>
      </w:r>
      <w:r w:rsidRPr="00C8624E">
        <w:rPr>
          <w:sz w:val="20"/>
          <w:lang w:val="en-US"/>
        </w:rPr>
        <w:t xml:space="preserve">irst results show more dispersed settlements patterns for </w:t>
      </w:r>
      <w:r w:rsidR="00135596" w:rsidRPr="00C8624E">
        <w:rPr>
          <w:sz w:val="20"/>
          <w:lang w:val="en-US"/>
        </w:rPr>
        <w:t xml:space="preserve">ethnicities more involved with </w:t>
      </w:r>
      <w:r w:rsidR="00253E23" w:rsidRPr="00C8624E">
        <w:rPr>
          <w:noProof/>
          <w:sz w:val="20"/>
          <w:lang w:val="en-US"/>
        </w:rPr>
        <w:t xml:space="preserve">household services </w:t>
      </w:r>
      <w:r w:rsidRPr="00C8624E">
        <w:rPr>
          <w:sz w:val="20"/>
          <w:lang w:val="en-US"/>
        </w:rPr>
        <w:t>than for those devoted to commerce and peddling.</w:t>
      </w:r>
      <w:r w:rsidR="00253E23" w:rsidRPr="00C8624E">
        <w:rPr>
          <w:i/>
          <w:sz w:val="20"/>
          <w:lang w:val="en-US"/>
        </w:rPr>
        <w:t xml:space="preserve"> </w:t>
      </w:r>
    </w:p>
    <w:p w:rsidR="00114064" w:rsidRPr="00C8624E" w:rsidRDefault="009C19FC">
      <w:pPr>
        <w:pStyle w:val="Maintext"/>
        <w:rPr>
          <w:sz w:val="20"/>
          <w:lang w:val="it-IT"/>
        </w:rPr>
      </w:pPr>
      <w:r w:rsidRPr="00C8624E">
        <w:rPr>
          <w:b/>
          <w:bCs/>
          <w:sz w:val="20"/>
          <w:lang w:val="it-IT"/>
        </w:rPr>
        <w:t xml:space="preserve">Abstract </w:t>
      </w:r>
      <w:r w:rsidR="007E1F8C" w:rsidRPr="00C8624E">
        <w:rPr>
          <w:bCs/>
          <w:i/>
          <w:sz w:val="20"/>
          <w:lang w:val="it-IT"/>
        </w:rPr>
        <w:t xml:space="preserve">In </w:t>
      </w:r>
      <w:r w:rsidR="007E1F8C" w:rsidRPr="00C8624E">
        <w:rPr>
          <w:bCs/>
          <w:i/>
          <w:noProof/>
          <w:sz w:val="20"/>
          <w:lang w:val="it-IT"/>
        </w:rPr>
        <w:t>questo</w:t>
      </w:r>
      <w:r w:rsidR="007E1F8C" w:rsidRPr="00C8624E">
        <w:rPr>
          <w:bCs/>
          <w:i/>
          <w:sz w:val="20"/>
          <w:lang w:val="it-IT"/>
        </w:rPr>
        <w:t xml:space="preserve"> </w:t>
      </w:r>
      <w:r w:rsidR="007E1F8C" w:rsidRPr="00C8624E">
        <w:rPr>
          <w:bCs/>
          <w:i/>
          <w:noProof/>
          <w:sz w:val="20"/>
          <w:lang w:val="it-IT"/>
        </w:rPr>
        <w:t>lavoro</w:t>
      </w:r>
      <w:r w:rsidR="007E1F8C" w:rsidRPr="00C8624E">
        <w:rPr>
          <w:bCs/>
          <w:i/>
          <w:sz w:val="20"/>
          <w:lang w:val="it-IT"/>
        </w:rPr>
        <w:t xml:space="preserve"> </w:t>
      </w:r>
      <w:r w:rsidR="00253E23" w:rsidRPr="00C8624E">
        <w:rPr>
          <w:bCs/>
          <w:i/>
          <w:sz w:val="20"/>
          <w:lang w:val="it-IT"/>
        </w:rPr>
        <w:t xml:space="preserve">vengono analizzati i modelli insediativi dei </w:t>
      </w:r>
      <w:r w:rsidR="00AE07FA" w:rsidRPr="00C8624E">
        <w:rPr>
          <w:i/>
          <w:noProof/>
          <w:sz w:val="20"/>
          <w:lang w:val="it-IT"/>
        </w:rPr>
        <w:t>gruppi</w:t>
      </w:r>
      <w:r w:rsidR="00AE07FA" w:rsidRPr="00C8624E">
        <w:rPr>
          <w:i/>
          <w:sz w:val="20"/>
          <w:lang w:val="it-IT"/>
        </w:rPr>
        <w:t xml:space="preserve"> di </w:t>
      </w:r>
      <w:r w:rsidR="00AE07FA" w:rsidRPr="00C8624E">
        <w:rPr>
          <w:i/>
          <w:noProof/>
          <w:sz w:val="20"/>
          <w:lang w:val="it-IT"/>
        </w:rPr>
        <w:t>immigrati</w:t>
      </w:r>
      <w:r w:rsidR="00AE07FA" w:rsidRPr="00C8624E">
        <w:rPr>
          <w:i/>
          <w:sz w:val="20"/>
          <w:lang w:val="it-IT"/>
        </w:rPr>
        <w:t xml:space="preserve"> più </w:t>
      </w:r>
      <w:r w:rsidR="00AE07FA" w:rsidRPr="00C8624E">
        <w:rPr>
          <w:i/>
          <w:noProof/>
          <w:sz w:val="20"/>
          <w:lang w:val="it-IT"/>
        </w:rPr>
        <w:t>rappresentativi</w:t>
      </w:r>
      <w:r w:rsidR="00AE07FA" w:rsidRPr="00C8624E">
        <w:rPr>
          <w:i/>
          <w:sz w:val="20"/>
          <w:lang w:val="it-IT"/>
        </w:rPr>
        <w:t xml:space="preserve"> </w:t>
      </w:r>
      <w:r w:rsidR="00AE07FA" w:rsidRPr="00C8624E">
        <w:rPr>
          <w:i/>
          <w:noProof/>
          <w:sz w:val="20"/>
          <w:lang w:val="it-IT"/>
        </w:rPr>
        <w:t>nella</w:t>
      </w:r>
      <w:r w:rsidR="00AE07FA" w:rsidRPr="00C8624E">
        <w:rPr>
          <w:i/>
          <w:sz w:val="20"/>
          <w:lang w:val="it-IT"/>
        </w:rPr>
        <w:t xml:space="preserve"> città di Messina. Attraverso </w:t>
      </w:r>
      <w:r w:rsidR="00AE07FA" w:rsidRPr="00C8624E">
        <w:rPr>
          <w:i/>
          <w:noProof/>
          <w:sz w:val="20"/>
          <w:lang w:val="it-IT"/>
        </w:rPr>
        <w:t>l’impiego</w:t>
      </w:r>
      <w:r w:rsidR="00AE07FA" w:rsidRPr="00C8624E">
        <w:rPr>
          <w:i/>
          <w:sz w:val="20"/>
          <w:lang w:val="it-IT"/>
        </w:rPr>
        <w:t xml:space="preserve"> di </w:t>
      </w:r>
      <w:r w:rsidR="00AE07FA" w:rsidRPr="00C8624E">
        <w:rPr>
          <w:i/>
          <w:noProof/>
          <w:sz w:val="20"/>
          <w:lang w:val="it-IT"/>
        </w:rPr>
        <w:t>modelli</w:t>
      </w:r>
      <w:r w:rsidR="00AE07FA" w:rsidRPr="00C8624E">
        <w:rPr>
          <w:i/>
          <w:sz w:val="20"/>
          <w:lang w:val="it-IT"/>
        </w:rPr>
        <w:t xml:space="preserve"> </w:t>
      </w:r>
      <w:r w:rsidR="00AE07FA" w:rsidRPr="00C8624E">
        <w:rPr>
          <w:i/>
          <w:noProof/>
          <w:sz w:val="20"/>
          <w:lang w:val="it-IT"/>
        </w:rPr>
        <w:t>spaziali</w:t>
      </w:r>
      <w:r w:rsidR="00AE07FA" w:rsidRPr="00C8624E">
        <w:rPr>
          <w:i/>
          <w:sz w:val="20"/>
          <w:lang w:val="it-IT"/>
        </w:rPr>
        <w:t xml:space="preserve"> per dati </w:t>
      </w:r>
      <w:r w:rsidR="00AE07FA" w:rsidRPr="00C8624E">
        <w:rPr>
          <w:i/>
          <w:noProof/>
          <w:sz w:val="20"/>
          <w:lang w:val="it-IT"/>
        </w:rPr>
        <w:t>puntuali</w:t>
      </w:r>
      <w:r w:rsidR="00AE07FA" w:rsidRPr="00C8624E">
        <w:rPr>
          <w:i/>
          <w:sz w:val="20"/>
          <w:lang w:val="it-IT"/>
        </w:rPr>
        <w:t xml:space="preserve"> </w:t>
      </w:r>
      <w:r w:rsidR="00AE07FA" w:rsidRPr="00C8624E">
        <w:rPr>
          <w:i/>
          <w:noProof/>
          <w:sz w:val="20"/>
          <w:lang w:val="it-IT"/>
        </w:rPr>
        <w:t>misuriamo</w:t>
      </w:r>
      <w:r w:rsidR="00AE07FA" w:rsidRPr="00C8624E">
        <w:rPr>
          <w:i/>
          <w:sz w:val="20"/>
          <w:lang w:val="it-IT"/>
        </w:rPr>
        <w:t xml:space="preserve"> </w:t>
      </w:r>
      <w:r w:rsidR="00AE07FA" w:rsidRPr="00C8624E">
        <w:rPr>
          <w:i/>
          <w:noProof/>
          <w:sz w:val="20"/>
          <w:lang w:val="it-IT"/>
        </w:rPr>
        <w:t>l’attrazione</w:t>
      </w:r>
      <w:r w:rsidR="00AE07FA" w:rsidRPr="00C8624E">
        <w:rPr>
          <w:i/>
          <w:sz w:val="20"/>
          <w:lang w:val="it-IT"/>
        </w:rPr>
        <w:t xml:space="preserve"> </w:t>
      </w:r>
      <w:r w:rsidR="00AE07FA" w:rsidRPr="00C8624E">
        <w:rPr>
          <w:i/>
          <w:noProof/>
          <w:sz w:val="20"/>
          <w:lang w:val="it-IT"/>
        </w:rPr>
        <w:t>tra</w:t>
      </w:r>
      <w:r w:rsidR="00AE07FA" w:rsidRPr="00C8624E">
        <w:rPr>
          <w:i/>
          <w:sz w:val="20"/>
          <w:lang w:val="it-IT"/>
        </w:rPr>
        <w:t xml:space="preserve"> nuclei </w:t>
      </w:r>
      <w:r w:rsidR="00AE07FA" w:rsidRPr="00C8624E">
        <w:rPr>
          <w:i/>
          <w:noProof/>
          <w:sz w:val="20"/>
          <w:lang w:val="it-IT"/>
        </w:rPr>
        <w:t>familiari</w:t>
      </w:r>
      <w:r w:rsidR="00AE07FA" w:rsidRPr="00C8624E">
        <w:rPr>
          <w:i/>
          <w:sz w:val="20"/>
          <w:lang w:val="it-IT"/>
        </w:rPr>
        <w:t xml:space="preserve"> </w:t>
      </w:r>
      <w:r w:rsidR="00AE07FA" w:rsidRPr="00C8624E">
        <w:rPr>
          <w:i/>
          <w:noProof/>
          <w:sz w:val="20"/>
          <w:lang w:val="it-IT"/>
        </w:rPr>
        <w:t>della</w:t>
      </w:r>
      <w:r w:rsidR="00AE07FA" w:rsidRPr="00C8624E">
        <w:rPr>
          <w:i/>
          <w:sz w:val="20"/>
          <w:lang w:val="it-IT"/>
        </w:rPr>
        <w:t xml:space="preserve"> </w:t>
      </w:r>
      <w:r w:rsidR="00AE07FA" w:rsidRPr="00C8624E">
        <w:rPr>
          <w:i/>
          <w:noProof/>
          <w:sz w:val="20"/>
          <w:lang w:val="it-IT"/>
        </w:rPr>
        <w:t>stessa</w:t>
      </w:r>
      <w:r w:rsidR="00AE07FA" w:rsidRPr="00C8624E">
        <w:rPr>
          <w:i/>
          <w:sz w:val="20"/>
          <w:lang w:val="it-IT"/>
        </w:rPr>
        <w:t xml:space="preserve"> </w:t>
      </w:r>
      <w:r w:rsidR="00AE07FA" w:rsidRPr="00C8624E">
        <w:rPr>
          <w:i/>
          <w:noProof/>
          <w:sz w:val="20"/>
          <w:lang w:val="it-IT"/>
        </w:rPr>
        <w:t>etnia</w:t>
      </w:r>
      <w:r w:rsidR="00AE07FA" w:rsidRPr="00C8624E">
        <w:rPr>
          <w:i/>
          <w:sz w:val="20"/>
          <w:lang w:val="it-IT"/>
        </w:rPr>
        <w:t xml:space="preserve">, al </w:t>
      </w:r>
      <w:r w:rsidR="00AE07FA" w:rsidRPr="00C8624E">
        <w:rPr>
          <w:i/>
          <w:noProof/>
          <w:sz w:val="20"/>
          <w:lang w:val="it-IT"/>
        </w:rPr>
        <w:t>netto</w:t>
      </w:r>
      <w:r w:rsidR="00AE07FA" w:rsidRPr="00C8624E">
        <w:rPr>
          <w:i/>
          <w:sz w:val="20"/>
          <w:lang w:val="it-IT"/>
        </w:rPr>
        <w:t xml:space="preserve"> </w:t>
      </w:r>
      <w:r w:rsidR="00AE07FA" w:rsidRPr="00C8624E">
        <w:rPr>
          <w:i/>
          <w:noProof/>
          <w:sz w:val="20"/>
          <w:lang w:val="it-IT"/>
        </w:rPr>
        <w:t>delle</w:t>
      </w:r>
      <w:r w:rsidR="00AE07FA" w:rsidRPr="00C8624E">
        <w:rPr>
          <w:i/>
          <w:sz w:val="20"/>
          <w:lang w:val="it-IT"/>
        </w:rPr>
        <w:t xml:space="preserve"> eterogeneità </w:t>
      </w:r>
      <w:r w:rsidR="00AE07FA" w:rsidRPr="00C8624E">
        <w:rPr>
          <w:i/>
          <w:noProof/>
          <w:sz w:val="20"/>
          <w:lang w:val="it-IT"/>
        </w:rPr>
        <w:t>spaziali</w:t>
      </w:r>
      <w:r w:rsidR="00AE07FA" w:rsidRPr="00C8624E">
        <w:rPr>
          <w:i/>
          <w:sz w:val="20"/>
          <w:lang w:val="it-IT"/>
        </w:rPr>
        <w:t xml:space="preserve"> </w:t>
      </w:r>
      <w:r w:rsidR="00AE07FA" w:rsidRPr="00C8624E">
        <w:rPr>
          <w:i/>
          <w:noProof/>
          <w:sz w:val="20"/>
          <w:lang w:val="it-IT"/>
        </w:rPr>
        <w:t>nel</w:t>
      </w:r>
      <w:r w:rsidR="00AE07FA" w:rsidRPr="00C8624E">
        <w:rPr>
          <w:i/>
          <w:sz w:val="20"/>
          <w:lang w:val="it-IT"/>
        </w:rPr>
        <w:t xml:space="preserve"> </w:t>
      </w:r>
      <w:r w:rsidR="00AE07FA" w:rsidRPr="00C8624E">
        <w:rPr>
          <w:i/>
          <w:noProof/>
          <w:sz w:val="20"/>
          <w:lang w:val="it-IT"/>
        </w:rPr>
        <w:t>costo</w:t>
      </w:r>
      <w:r w:rsidR="00AE07FA" w:rsidRPr="00C8624E">
        <w:rPr>
          <w:i/>
          <w:sz w:val="20"/>
          <w:lang w:val="it-IT"/>
        </w:rPr>
        <w:t xml:space="preserve"> </w:t>
      </w:r>
      <w:r w:rsidR="00AE07FA" w:rsidRPr="00C8624E">
        <w:rPr>
          <w:i/>
          <w:noProof/>
          <w:sz w:val="20"/>
          <w:lang w:val="it-IT"/>
        </w:rPr>
        <w:t>degli</w:t>
      </w:r>
      <w:r w:rsidR="00AE07FA" w:rsidRPr="00C8624E">
        <w:rPr>
          <w:i/>
          <w:sz w:val="20"/>
          <w:lang w:val="it-IT"/>
        </w:rPr>
        <w:t xml:space="preserve"> </w:t>
      </w:r>
      <w:r w:rsidR="00AE07FA" w:rsidRPr="00C8624E">
        <w:rPr>
          <w:i/>
          <w:noProof/>
          <w:sz w:val="20"/>
          <w:lang w:val="it-IT"/>
        </w:rPr>
        <w:t>affiti</w:t>
      </w:r>
      <w:r w:rsidR="00AE07FA" w:rsidRPr="00C8624E">
        <w:rPr>
          <w:i/>
          <w:sz w:val="20"/>
          <w:lang w:val="it-IT"/>
        </w:rPr>
        <w:t xml:space="preserve"> e </w:t>
      </w:r>
      <w:r w:rsidR="00AE07FA" w:rsidRPr="00C8624E">
        <w:rPr>
          <w:i/>
          <w:noProof/>
          <w:sz w:val="20"/>
          <w:lang w:val="it-IT"/>
        </w:rPr>
        <w:t>nella</w:t>
      </w:r>
      <w:r w:rsidR="00AE07FA" w:rsidRPr="00C8624E">
        <w:rPr>
          <w:i/>
          <w:sz w:val="20"/>
          <w:lang w:val="it-IT"/>
        </w:rPr>
        <w:t xml:space="preserve"> </w:t>
      </w:r>
      <w:r w:rsidR="00AE07FA" w:rsidRPr="00C8624E">
        <w:rPr>
          <w:i/>
          <w:noProof/>
          <w:sz w:val="20"/>
          <w:lang w:val="it-IT"/>
        </w:rPr>
        <w:t>disponibilità di</w:t>
      </w:r>
      <w:r w:rsidR="00AE07FA" w:rsidRPr="00C8624E">
        <w:rPr>
          <w:i/>
          <w:sz w:val="20"/>
          <w:lang w:val="it-IT"/>
        </w:rPr>
        <w:t xml:space="preserve"> </w:t>
      </w:r>
      <w:r w:rsidR="00AE07FA" w:rsidRPr="00C8624E">
        <w:rPr>
          <w:i/>
          <w:noProof/>
          <w:sz w:val="20"/>
          <w:lang w:val="it-IT"/>
        </w:rPr>
        <w:t>lavoro</w:t>
      </w:r>
      <w:r w:rsidR="00135596" w:rsidRPr="00C8624E">
        <w:rPr>
          <w:i/>
          <w:noProof/>
          <w:sz w:val="20"/>
          <w:lang w:val="it-IT"/>
        </w:rPr>
        <w:t xml:space="preserve">. </w:t>
      </w:r>
      <w:r w:rsidR="00C8624E">
        <w:rPr>
          <w:i/>
          <w:noProof/>
          <w:sz w:val="20"/>
          <w:lang w:val="it-IT"/>
        </w:rPr>
        <w:t>Il lavoro è ancora in progress;</w:t>
      </w:r>
      <w:r w:rsidR="00DD6129" w:rsidRPr="00C8624E">
        <w:rPr>
          <w:i/>
          <w:noProof/>
          <w:sz w:val="20"/>
          <w:lang w:val="it-IT"/>
        </w:rPr>
        <w:t xml:space="preserve"> </w:t>
      </w:r>
      <w:r w:rsidR="00C8624E">
        <w:rPr>
          <w:i/>
          <w:noProof/>
          <w:sz w:val="20"/>
          <w:lang w:val="it-IT"/>
        </w:rPr>
        <w:t>i</w:t>
      </w:r>
      <w:r w:rsidR="00135596" w:rsidRPr="00C8624E">
        <w:rPr>
          <w:i/>
          <w:noProof/>
          <w:sz w:val="20"/>
          <w:lang w:val="it-IT"/>
        </w:rPr>
        <w:t xml:space="preserve"> primi risultati mostrano </w:t>
      </w:r>
      <w:r w:rsidR="00253E23" w:rsidRPr="00C8624E">
        <w:rPr>
          <w:i/>
          <w:noProof/>
          <w:sz w:val="20"/>
          <w:lang w:val="it-IT"/>
        </w:rPr>
        <w:t>modelli</w:t>
      </w:r>
      <w:r w:rsidR="00135596" w:rsidRPr="00C8624E">
        <w:rPr>
          <w:i/>
          <w:noProof/>
          <w:sz w:val="20"/>
          <w:lang w:val="it-IT"/>
        </w:rPr>
        <w:t xml:space="preserve"> insediativi meno concentrati per quei gruppi etnici maggiormente coinvolti </w:t>
      </w:r>
      <w:r w:rsidR="00253E23" w:rsidRPr="00C8624E">
        <w:rPr>
          <w:i/>
          <w:noProof/>
          <w:sz w:val="20"/>
          <w:lang w:val="it-IT"/>
        </w:rPr>
        <w:t>nei servizi a</w:t>
      </w:r>
      <w:r w:rsidR="00135596" w:rsidRPr="00C8624E">
        <w:rPr>
          <w:i/>
          <w:noProof/>
          <w:sz w:val="20"/>
          <w:lang w:val="it-IT"/>
        </w:rPr>
        <w:t>lle famiglie rispetto a quelli maggiormente impegnati nel commercio e nella vendita ambulante.</w:t>
      </w:r>
    </w:p>
    <w:p w:rsidR="00114064" w:rsidRPr="00C8624E" w:rsidRDefault="00114064" w:rsidP="00114064">
      <w:pPr>
        <w:pStyle w:val="Maintext"/>
        <w:rPr>
          <w:sz w:val="20"/>
        </w:rPr>
      </w:pPr>
      <w:r w:rsidRPr="00C8624E">
        <w:rPr>
          <w:b/>
          <w:noProof/>
          <w:sz w:val="20"/>
        </w:rPr>
        <w:t>Keywords</w:t>
      </w:r>
      <w:r w:rsidRPr="00C8624E">
        <w:rPr>
          <w:b/>
          <w:sz w:val="20"/>
        </w:rPr>
        <w:t xml:space="preserve">: </w:t>
      </w:r>
      <w:r w:rsidR="00A059F6" w:rsidRPr="00C8624E">
        <w:rPr>
          <w:sz w:val="20"/>
        </w:rPr>
        <w:t>Spatial Clustering</w:t>
      </w:r>
      <w:r w:rsidRPr="00C8624E">
        <w:rPr>
          <w:sz w:val="20"/>
        </w:rPr>
        <w:t xml:space="preserve">, </w:t>
      </w:r>
      <w:r w:rsidR="00A059F6" w:rsidRPr="00C8624E">
        <w:rPr>
          <w:sz w:val="20"/>
        </w:rPr>
        <w:t>Voluntary Segregation, Migrant Households</w:t>
      </w:r>
    </w:p>
    <w:p w:rsidR="00A149DC" w:rsidRPr="00C8624E" w:rsidRDefault="005A08BB">
      <w:pPr>
        <w:pStyle w:val="SectionHeading"/>
        <w:tabs>
          <w:tab w:val="left" w:pos="284"/>
        </w:tabs>
        <w:ind w:left="284" w:hanging="284"/>
      </w:pPr>
      <w:r w:rsidRPr="00C8624E">
        <w:t>Introduction</w:t>
      </w:r>
    </w:p>
    <w:p w:rsidR="005A08BB" w:rsidRPr="00C8624E" w:rsidRDefault="005A08BB" w:rsidP="001776F1">
      <w:pPr>
        <w:pStyle w:val="Maintext"/>
        <w:ind w:firstLine="284"/>
        <w:rPr>
          <w:rFonts w:eastAsia="Arial"/>
          <w:sz w:val="20"/>
        </w:rPr>
      </w:pPr>
      <w:r w:rsidRPr="00C8624E">
        <w:rPr>
          <w:rFonts w:eastAsia="Arial"/>
          <w:sz w:val="20"/>
        </w:rPr>
        <w:t xml:space="preserve">Ethnic residential segregation has long been investigated in the USA and South Africa; however, only recently this topic has become prominent in Europe as well, following from a debate that links segregation with the perceived failure of integrating immigrants into host societies (Kalandides and </w:t>
      </w:r>
      <w:r w:rsidR="001776F1" w:rsidRPr="00C8624E">
        <w:rPr>
          <w:rFonts w:eastAsia="Arial"/>
          <w:sz w:val="20"/>
        </w:rPr>
        <w:t xml:space="preserve">Vaiou, 2012, Andersson, </w:t>
      </w:r>
      <w:r w:rsidR="001776F1" w:rsidRPr="00C8624E">
        <w:rPr>
          <w:rFonts w:eastAsia="Arial"/>
          <w:sz w:val="20"/>
        </w:rPr>
        <w:lastRenderedPageBreak/>
        <w:t xml:space="preserve">2013). </w:t>
      </w:r>
      <w:r w:rsidRPr="00C8624E">
        <w:rPr>
          <w:rFonts w:eastAsia="Arial"/>
          <w:sz w:val="20"/>
        </w:rPr>
        <w:t xml:space="preserve">A minority ethnic group is segregated when the arrangement of minority households departures from expectations based upon a random spatial allocation. Following Schelling (1971), we distinguish two sources of spatial segregation. The first is mostly economically induced, and it is mainly ascribed to within-city inhomogeneity in the price of residential property, and in the availability of jobs. The second is </w:t>
      </w:r>
      <w:r w:rsidRPr="00C8624E">
        <w:rPr>
          <w:rFonts w:eastAsia="Arial"/>
          <w:noProof/>
          <w:sz w:val="20"/>
        </w:rPr>
        <w:t>attraction</w:t>
      </w:r>
      <w:r w:rsidRPr="00C8624E">
        <w:rPr>
          <w:rFonts w:eastAsia="Arial"/>
          <w:sz w:val="20"/>
        </w:rPr>
        <w:t xml:space="preserve">, i.e., individuals prefer living in areas where their group is a majority or near-majority (Clark and Fossett, 2008). Moreover, newly arrived minority migrants may benefit </w:t>
      </w:r>
      <w:r w:rsidR="00DD6129" w:rsidRPr="00C8624E">
        <w:rPr>
          <w:rFonts w:eastAsia="Arial"/>
          <w:noProof/>
          <w:sz w:val="20"/>
        </w:rPr>
        <w:t>from</w:t>
      </w:r>
      <w:r w:rsidRPr="00C8624E">
        <w:rPr>
          <w:rFonts w:eastAsia="Arial"/>
          <w:sz w:val="20"/>
        </w:rPr>
        <w:t xml:space="preserve"> positive spillovers in settling close to their compatriots, and transnational social networks play an important role in channeling arriving migrants into specific neighborhoods. </w:t>
      </w:r>
    </w:p>
    <w:p w:rsidR="005A08BB" w:rsidRPr="00C8624E" w:rsidRDefault="005A08BB" w:rsidP="005A08BB">
      <w:pPr>
        <w:pStyle w:val="Maintext"/>
        <w:ind w:firstLine="284"/>
        <w:rPr>
          <w:rFonts w:eastAsia="Arial"/>
          <w:sz w:val="20"/>
        </w:rPr>
      </w:pPr>
      <w:r w:rsidRPr="00C8624E">
        <w:rPr>
          <w:rFonts w:eastAsia="Arial"/>
          <w:sz w:val="20"/>
        </w:rPr>
        <w:t>Whereas economic induced segregation might explain some initial degree of segregation and raises questions of social equity, the Schelling (1971) model highlights the importance of individually motivated segregation and posits that even mild preferences for living with similar neighbors carry the potential to be strong determinants for residential segregation (Clark and Fossett 2008).</w:t>
      </w:r>
    </w:p>
    <w:p w:rsidR="00A149DC" w:rsidRPr="00C8624E" w:rsidRDefault="005F556B" w:rsidP="002416E2">
      <w:pPr>
        <w:pStyle w:val="Maintext"/>
        <w:ind w:firstLine="284"/>
        <w:rPr>
          <w:rFonts w:eastAsia="Arial"/>
          <w:sz w:val="20"/>
        </w:rPr>
      </w:pPr>
      <w:r w:rsidRPr="00C8624E">
        <w:rPr>
          <w:rFonts w:eastAsia="Arial"/>
          <w:sz w:val="20"/>
        </w:rPr>
        <w:t>From a methodological point of view, t</w:t>
      </w:r>
      <w:r w:rsidR="005A08BB" w:rsidRPr="00C8624E">
        <w:rPr>
          <w:rFonts w:eastAsia="Arial"/>
          <w:sz w:val="20"/>
        </w:rPr>
        <w:t>raditional indices of spatial segregation rely on data aggregated by areal unit, typically census tracts (Mazza and Punzo, 2015</w:t>
      </w:r>
      <w:r w:rsidR="005A5F60" w:rsidRPr="00C8624E">
        <w:rPr>
          <w:rFonts w:eastAsia="Arial"/>
          <w:sz w:val="20"/>
        </w:rPr>
        <w:t>; Mucciardi, Mazza and Altavilla, 2017</w:t>
      </w:r>
      <w:r w:rsidR="00DD6129" w:rsidRPr="00C8624E">
        <w:rPr>
          <w:rFonts w:eastAsia="Arial"/>
          <w:sz w:val="20"/>
        </w:rPr>
        <w:t xml:space="preserve">); </w:t>
      </w:r>
      <w:r w:rsidR="00DD6129" w:rsidRPr="00C8624E">
        <w:rPr>
          <w:rFonts w:eastAsia="Arial"/>
          <w:noProof/>
          <w:sz w:val="20"/>
        </w:rPr>
        <w:t>however</w:t>
      </w:r>
      <w:r w:rsidR="00FF312F" w:rsidRPr="00C8624E">
        <w:rPr>
          <w:rFonts w:eastAsia="Arial"/>
          <w:sz w:val="20"/>
        </w:rPr>
        <w:t xml:space="preserve"> these </w:t>
      </w:r>
      <w:r w:rsidR="00EC3EED" w:rsidRPr="00C8624E">
        <w:rPr>
          <w:rFonts w:eastAsia="Arial"/>
          <w:sz w:val="20"/>
        </w:rPr>
        <w:t>analyzes</w:t>
      </w:r>
      <w:r w:rsidR="00FF312F" w:rsidRPr="00C8624E">
        <w:rPr>
          <w:rFonts w:eastAsia="Arial"/>
          <w:sz w:val="20"/>
        </w:rPr>
        <w:t xml:space="preserve"> could suffer </w:t>
      </w:r>
      <w:r w:rsidR="005A08BB" w:rsidRPr="00C8624E">
        <w:rPr>
          <w:rFonts w:eastAsia="Arial"/>
          <w:sz w:val="20"/>
        </w:rPr>
        <w:t xml:space="preserve">from the modifiable area unit problem (i.e., alternative zoning or a different scale may yield different results; see Openshaw, 1984 and Wong, 2009) and do not allow to distinguish between the two sources of segregation. Instead, </w:t>
      </w:r>
      <w:r w:rsidR="002416E2" w:rsidRPr="00C8624E">
        <w:rPr>
          <w:rFonts w:eastAsia="Arial"/>
          <w:sz w:val="20"/>
        </w:rPr>
        <w:t xml:space="preserve">in this </w:t>
      </w:r>
      <w:r w:rsidR="002416E2" w:rsidRPr="00C8624E">
        <w:rPr>
          <w:rFonts w:eastAsia="Arial"/>
          <w:noProof/>
          <w:sz w:val="20"/>
        </w:rPr>
        <w:t>paper</w:t>
      </w:r>
      <w:r w:rsidR="00DD6129" w:rsidRPr="00C8624E">
        <w:rPr>
          <w:rFonts w:eastAsia="Arial"/>
          <w:noProof/>
          <w:sz w:val="20"/>
        </w:rPr>
        <w:t>,</w:t>
      </w:r>
      <w:r w:rsidR="005A08BB" w:rsidRPr="00C8624E">
        <w:rPr>
          <w:rFonts w:eastAsia="Arial"/>
          <w:sz w:val="20"/>
        </w:rPr>
        <w:t xml:space="preserve"> we use individual point data, and we apply the inhomogeneous K-function (Baddeley et al., 2000), which allows </w:t>
      </w:r>
      <w:r w:rsidR="00DD6129" w:rsidRPr="00C8624E">
        <w:rPr>
          <w:rFonts w:eastAsia="Arial"/>
          <w:noProof/>
          <w:sz w:val="20"/>
        </w:rPr>
        <w:t>assessing</w:t>
      </w:r>
      <w:r w:rsidR="005A08BB" w:rsidRPr="00C8624E">
        <w:rPr>
          <w:rFonts w:eastAsia="Arial"/>
          <w:sz w:val="20"/>
        </w:rPr>
        <w:t xml:space="preserve"> spatial attraction among migrants while adjusting for spatial inhomogeneity (Mazza and Punzo, 2016). To avoid the risk of confounding the two sources of clustering, spatial inhomogeneity is estimated following a case-control approach. Cases will be, in turn, migrants of each nationality, while the controls will be a random sample of native household locations.</w:t>
      </w:r>
    </w:p>
    <w:p w:rsidR="00A149DC" w:rsidRPr="00C8624E" w:rsidRDefault="002D281D" w:rsidP="002D281D">
      <w:pPr>
        <w:pStyle w:val="SectionHeading"/>
        <w:ind w:left="284" w:hanging="284"/>
      </w:pPr>
      <w:r w:rsidRPr="00C8624E">
        <w:t>The model: the inhomogeneous K-function</w:t>
      </w:r>
    </w:p>
    <w:p w:rsidR="003E734F" w:rsidRPr="00C8624E" w:rsidRDefault="005A08BB" w:rsidP="00267D94">
      <w:pPr>
        <w:pStyle w:val="Maintextfirstline"/>
        <w:ind w:firstLine="284"/>
        <w:rPr>
          <w:sz w:val="20"/>
        </w:rPr>
      </w:pPr>
      <w:r w:rsidRPr="00C8624E">
        <w:rPr>
          <w:sz w:val="20"/>
        </w:rPr>
        <w:t xml:space="preserve">The spatial distribution of household locations may be represented by a point pattern. The simplest theoretical model for a spatial point pattern is the homogeneous Poisson process (HPP), in which the expected number of events occurring within a unitary region </w:t>
      </w:r>
      <m:oMath>
        <m:r>
          <w:rPr>
            <w:rFonts w:ascii="Cambria Math" w:hAnsi="Cambria Math"/>
            <w:sz w:val="22"/>
            <w:szCs w:val="22"/>
            <w:lang w:val="en-US" w:eastAsia="it-IT"/>
          </w:rPr>
          <m:t>u</m:t>
        </m:r>
        <m:r>
          <m:rPr>
            <m:sty m:val="p"/>
          </m:rPr>
          <w:rPr>
            <w:rFonts w:ascii="Cambria Math" w:hAnsi="Cambria Math"/>
            <w:sz w:val="22"/>
            <w:szCs w:val="22"/>
            <w:lang w:val="en-US" w:eastAsia="it-IT"/>
          </w:rPr>
          <m:t>∈</m:t>
        </m:r>
        <m:r>
          <w:rPr>
            <w:rFonts w:ascii="Cambria Math" w:hAnsi="Cambria Math"/>
            <w:sz w:val="22"/>
            <w:szCs w:val="22"/>
            <w:lang w:val="en-US" w:eastAsia="it-IT"/>
          </w:rPr>
          <m:t>R</m:t>
        </m:r>
      </m:oMath>
      <w:r w:rsidR="00514653" w:rsidRPr="00C8624E">
        <w:rPr>
          <w:sz w:val="20"/>
        </w:rPr>
        <w:t xml:space="preserve"> </w:t>
      </w:r>
      <w:r w:rsidRPr="00C8624E">
        <w:rPr>
          <w:sz w:val="20"/>
        </w:rPr>
        <w:t xml:space="preserve">follows a Poisson distribution, whose intensity </w:t>
      </w:r>
      <m:oMath>
        <m:r>
          <w:rPr>
            <w:rFonts w:ascii="Cambria Math" w:hAnsi="Cambria Math" w:cs="Cambria Math"/>
            <w:sz w:val="22"/>
            <w:szCs w:val="22"/>
            <w:lang w:val="en-US" w:eastAsia="it-IT"/>
          </w:rPr>
          <m:t>λ</m:t>
        </m:r>
        <m:d>
          <m:dPr>
            <m:ctrlPr>
              <w:rPr>
                <w:rFonts w:ascii="Cambria Math" w:hAnsi="Cambria Math"/>
                <w:sz w:val="22"/>
                <w:szCs w:val="22"/>
                <w:lang w:val="en-US" w:eastAsia="it-IT"/>
              </w:rPr>
            </m:ctrlPr>
          </m:dPr>
          <m:e>
            <m:r>
              <w:rPr>
                <w:rFonts w:ascii="Cambria Math" w:hAnsi="Cambria Math"/>
                <w:sz w:val="22"/>
                <w:szCs w:val="22"/>
                <w:lang w:val="en-US" w:eastAsia="it-IT"/>
              </w:rPr>
              <m:t>u</m:t>
            </m:r>
          </m:e>
        </m:d>
      </m:oMath>
      <w:r w:rsidR="00514653" w:rsidRPr="00C8624E">
        <w:rPr>
          <w:sz w:val="20"/>
        </w:rPr>
        <w:t xml:space="preserve"> </w:t>
      </w:r>
      <w:r w:rsidRPr="00C8624E">
        <w:rPr>
          <w:sz w:val="20"/>
        </w:rPr>
        <w:t xml:space="preserve">is uniformly distributed over R (Diggle, 2003). The inhomogeneous point process (IPP) is a generalization of the HPP obtained replacing the constant intensity </w:t>
      </w:r>
      <m:oMath>
        <m:r>
          <w:rPr>
            <w:rFonts w:ascii="Cambria Math" w:hAnsi="Cambria Math"/>
            <w:sz w:val="22"/>
            <w:szCs w:val="22"/>
            <w:lang w:val="en-US" w:eastAsia="it-IT"/>
          </w:rPr>
          <m:t>λ</m:t>
        </m:r>
      </m:oMath>
      <w:r w:rsidRPr="00C8624E">
        <w:rPr>
          <w:sz w:val="20"/>
        </w:rPr>
        <w:t xml:space="preserve"> by a spatially varying intensity function </w:t>
      </w:r>
      <m:oMath>
        <m:r>
          <w:rPr>
            <w:rFonts w:ascii="Cambria Math" w:hAnsi="Cambria Math" w:cs="Cambria Math"/>
            <w:sz w:val="22"/>
            <w:szCs w:val="22"/>
            <w:lang w:val="en-US" w:eastAsia="it-IT"/>
          </w:rPr>
          <m:t>λ</m:t>
        </m:r>
        <m:d>
          <m:dPr>
            <m:ctrlPr>
              <w:rPr>
                <w:rFonts w:ascii="Cambria Math" w:hAnsi="Cambria Math"/>
                <w:sz w:val="22"/>
                <w:szCs w:val="22"/>
                <w:lang w:val="en-US" w:eastAsia="it-IT"/>
              </w:rPr>
            </m:ctrlPr>
          </m:dPr>
          <m:e>
            <m:r>
              <w:rPr>
                <w:rFonts w:ascii="Cambria Math" w:hAnsi="Cambria Math"/>
                <w:sz w:val="22"/>
                <w:szCs w:val="22"/>
                <w:lang w:val="en-US" w:eastAsia="it-IT"/>
              </w:rPr>
              <m:t>u</m:t>
            </m:r>
          </m:e>
        </m:d>
      </m:oMath>
      <w:r w:rsidRPr="00C8624E">
        <w:rPr>
          <w:sz w:val="20"/>
        </w:rPr>
        <w:t xml:space="preserve">; clustered patterns occur, with regions where </w:t>
      </w:r>
      <m:oMath>
        <m:r>
          <w:rPr>
            <w:rFonts w:ascii="Cambria Math" w:hAnsi="Cambria Math" w:cs="Cambria Math"/>
            <w:sz w:val="22"/>
            <w:szCs w:val="22"/>
            <w:lang w:val="en-US" w:eastAsia="it-IT"/>
          </w:rPr>
          <m:t>λ</m:t>
        </m:r>
        <m:d>
          <m:dPr>
            <m:ctrlPr>
              <w:rPr>
                <w:rFonts w:ascii="Cambria Math" w:hAnsi="Cambria Math"/>
                <w:sz w:val="22"/>
                <w:szCs w:val="22"/>
                <w:lang w:val="en-US" w:eastAsia="it-IT"/>
              </w:rPr>
            </m:ctrlPr>
          </m:dPr>
          <m:e>
            <m:r>
              <w:rPr>
                <w:rFonts w:ascii="Cambria Math" w:hAnsi="Cambria Math"/>
                <w:sz w:val="22"/>
                <w:szCs w:val="22"/>
                <w:lang w:val="en-US" w:eastAsia="it-IT"/>
              </w:rPr>
              <m:t>u</m:t>
            </m:r>
          </m:e>
        </m:d>
      </m:oMath>
      <w:r w:rsidR="00E14F4F" w:rsidRPr="00C8624E">
        <w:rPr>
          <w:sz w:val="20"/>
        </w:rPr>
        <w:t xml:space="preserve"> </w:t>
      </w:r>
      <w:r w:rsidRPr="00C8624E">
        <w:rPr>
          <w:sz w:val="20"/>
        </w:rPr>
        <w:t xml:space="preserve">is higher receiving a higher number of events. Ripley’s </w:t>
      </w:r>
      <w:r w:rsidRPr="00C8624E">
        <w:rPr>
          <w:i/>
          <w:sz w:val="20"/>
        </w:rPr>
        <w:t>K</w:t>
      </w:r>
      <w:r w:rsidRPr="00C8624E">
        <w:rPr>
          <w:sz w:val="20"/>
        </w:rPr>
        <w:t xml:space="preserve">-function, usually denoted with </w:t>
      </w:r>
      <m:oMath>
        <m:r>
          <w:rPr>
            <w:rFonts w:ascii="Cambria Math" w:hAnsi="Cambria Math"/>
            <w:sz w:val="22"/>
            <w:szCs w:val="22"/>
            <w:lang w:val="en-US" w:eastAsia="it-IT"/>
          </w:rPr>
          <m:t>K</m:t>
        </m:r>
        <m:d>
          <m:dPr>
            <m:ctrlPr>
              <w:rPr>
                <w:rFonts w:ascii="Cambria Math" w:hAnsi="Cambria Math"/>
                <w:sz w:val="22"/>
                <w:szCs w:val="22"/>
                <w:lang w:val="en-US" w:eastAsia="it-IT"/>
              </w:rPr>
            </m:ctrlPr>
          </m:dPr>
          <m:e>
            <m:r>
              <w:rPr>
                <w:rFonts w:ascii="Cambria Math" w:hAnsi="Cambria Math"/>
                <w:sz w:val="22"/>
                <w:szCs w:val="22"/>
                <w:lang w:val="en-US" w:eastAsia="it-IT"/>
              </w:rPr>
              <m:t>d</m:t>
            </m:r>
          </m:e>
        </m:d>
      </m:oMath>
      <w:r w:rsidRPr="00C8624E">
        <w:rPr>
          <w:sz w:val="20"/>
        </w:rPr>
        <w:t xml:space="preserve">, is used to detect clustering (or inhibition) in point processes with constant intensity; at every spatial distance </w:t>
      </w:r>
      <m:oMath>
        <m:r>
          <w:rPr>
            <w:rFonts w:ascii="Cambria Math" w:hAnsi="Cambria Math"/>
            <w:sz w:val="20"/>
          </w:rPr>
          <m:t>d</m:t>
        </m:r>
      </m:oMath>
      <w:r w:rsidRPr="00C8624E">
        <w:rPr>
          <w:sz w:val="20"/>
        </w:rPr>
        <w:t xml:space="preserve">, </w:t>
      </w:r>
      <m:oMath>
        <m:r>
          <w:rPr>
            <w:rFonts w:ascii="Cambria Math" w:hAnsi="Cambria Math"/>
            <w:sz w:val="22"/>
            <w:szCs w:val="22"/>
            <w:lang w:val="en-US" w:eastAsia="it-IT"/>
          </w:rPr>
          <m:t>λ</m:t>
        </m:r>
      </m:oMath>
      <w:r w:rsidR="00E14F4F" w:rsidRPr="00C8624E">
        <w:rPr>
          <w:sz w:val="20"/>
        </w:rPr>
        <w:t xml:space="preserve"> </w:t>
      </w:r>
      <m:oMath>
        <m:r>
          <w:rPr>
            <w:rFonts w:ascii="Cambria Math" w:hAnsi="Cambria Math"/>
            <w:sz w:val="22"/>
            <w:szCs w:val="22"/>
            <w:lang w:val="en-US" w:eastAsia="it-IT"/>
          </w:rPr>
          <m:t>K</m:t>
        </m:r>
        <m:d>
          <m:dPr>
            <m:ctrlPr>
              <w:rPr>
                <w:rFonts w:ascii="Cambria Math" w:hAnsi="Cambria Math"/>
                <w:sz w:val="22"/>
                <w:szCs w:val="22"/>
                <w:lang w:val="en-US" w:eastAsia="it-IT"/>
              </w:rPr>
            </m:ctrlPr>
          </m:dPr>
          <m:e>
            <m:r>
              <w:rPr>
                <w:rFonts w:ascii="Cambria Math" w:hAnsi="Cambria Math"/>
                <w:sz w:val="22"/>
                <w:szCs w:val="22"/>
                <w:lang w:val="en-US" w:eastAsia="it-IT"/>
              </w:rPr>
              <m:t>d</m:t>
            </m:r>
          </m:e>
        </m:d>
        <m:r>
          <w:rPr>
            <w:rFonts w:ascii="Cambria Math" w:hAnsi="Cambria Math"/>
            <w:sz w:val="22"/>
            <w:szCs w:val="22"/>
            <w:lang w:val="en-US" w:eastAsia="it-IT"/>
          </w:rPr>
          <m:t xml:space="preserve"> </m:t>
        </m:r>
      </m:oMath>
      <w:r w:rsidRPr="00C8624E">
        <w:rPr>
          <w:sz w:val="20"/>
        </w:rPr>
        <w:t>is the expected number of additional points of the</w:t>
      </w:r>
      <w:r w:rsidR="00267D94" w:rsidRPr="00C8624E">
        <w:rPr>
          <w:sz w:val="20"/>
        </w:rPr>
        <w:t xml:space="preserve"> process X located in a circle </w:t>
      </w:r>
      <m:oMath>
        <m:r>
          <w:rPr>
            <w:rFonts w:ascii="Cambria Math" w:hAnsi="Cambria Math"/>
            <w:sz w:val="20"/>
          </w:rPr>
          <m:t>b</m:t>
        </m:r>
      </m:oMath>
      <w:r w:rsidRPr="00C8624E">
        <w:rPr>
          <w:sz w:val="20"/>
        </w:rPr>
        <w:t xml:space="preserve"> of radius </w:t>
      </w:r>
      <m:oMath>
        <m:r>
          <w:rPr>
            <w:rFonts w:ascii="Cambria Math" w:hAnsi="Cambria Math"/>
            <w:sz w:val="20"/>
          </w:rPr>
          <m:t>d</m:t>
        </m:r>
      </m:oMath>
      <w:r w:rsidRPr="00C8624E">
        <w:rPr>
          <w:sz w:val="20"/>
        </w:rPr>
        <w:t xml:space="preserve"> </w:t>
      </w:r>
      <w:r w:rsidR="00267D94" w:rsidRPr="00C8624E">
        <w:rPr>
          <w:sz w:val="20"/>
        </w:rPr>
        <w:t xml:space="preserve">surrounding an arbitrary event </w:t>
      </w:r>
      <m:oMath>
        <m:r>
          <w:rPr>
            <w:rFonts w:ascii="Cambria Math" w:hAnsi="Cambria Math"/>
            <w:sz w:val="22"/>
            <w:szCs w:val="22"/>
            <w:lang w:val="en-US" w:eastAsia="it-IT"/>
          </w:rPr>
          <m:t>x</m:t>
        </m:r>
      </m:oMath>
      <w:r w:rsidRPr="00C8624E">
        <w:rPr>
          <w:sz w:val="20"/>
        </w:rPr>
        <w:t>. Baddeley et al. (2000) generalized Ripley’s K-</w:t>
      </w:r>
      <w:r w:rsidRPr="00C8624E">
        <w:rPr>
          <w:sz w:val="20"/>
        </w:rPr>
        <w:lastRenderedPageBreak/>
        <w:t>function to non-homogeneous point pro</w:t>
      </w:r>
      <w:r w:rsidR="00267D94" w:rsidRPr="00C8624E">
        <w:rPr>
          <w:sz w:val="20"/>
        </w:rPr>
        <w:t>cesses, by weigthing each point</w:t>
      </w:r>
      <m:oMath>
        <m:r>
          <w:rPr>
            <w:rFonts w:ascii="Cambria Math" w:hAnsi="Cambria Math"/>
            <w:sz w:val="22"/>
            <w:szCs w:val="22"/>
            <w:lang w:val="en-US" w:eastAsia="it-IT"/>
          </w:rPr>
          <m:t xml:space="preserve"> </m:t>
        </m:r>
        <m:sSub>
          <m:sSubPr>
            <m:ctrlPr>
              <w:rPr>
                <w:rFonts w:ascii="Cambria Math" w:hAnsi="Cambria Math"/>
                <w:sz w:val="22"/>
                <w:szCs w:val="22"/>
                <w:lang w:val="en-US" w:eastAsia="it-IT"/>
              </w:rPr>
            </m:ctrlPr>
          </m:sSubPr>
          <m:e>
            <m:r>
              <w:rPr>
                <w:rFonts w:ascii="Cambria Math" w:hAnsi="Cambria Math"/>
                <w:sz w:val="22"/>
                <w:szCs w:val="22"/>
                <w:lang w:val="en-US" w:eastAsia="it-IT"/>
              </w:rPr>
              <m:t>x</m:t>
            </m:r>
          </m:e>
          <m:sub>
            <m:r>
              <w:rPr>
                <w:rFonts w:ascii="Cambria Math" w:hAnsi="Cambria Math"/>
                <w:sz w:val="22"/>
                <w:szCs w:val="22"/>
                <w:lang w:val="en-US" w:eastAsia="it-IT"/>
              </w:rPr>
              <m:t>j</m:t>
            </m:r>
          </m:sub>
        </m:sSub>
        <m:r>
          <w:rPr>
            <w:rFonts w:ascii="Cambria Math" w:hAnsi="Cambria Math"/>
            <w:sz w:val="22"/>
            <w:szCs w:val="22"/>
            <w:lang w:val="en-US" w:eastAsia="it-IT"/>
          </w:rPr>
          <m:t xml:space="preserve"> </m:t>
        </m:r>
      </m:oMath>
      <w:r w:rsidRPr="00C8624E">
        <w:rPr>
          <w:sz w:val="20"/>
        </w:rPr>
        <w:t>by</w:t>
      </w:r>
      <w:r w:rsidR="00267D94" w:rsidRPr="00C8624E">
        <w:rPr>
          <w:sz w:val="20"/>
        </w:rPr>
        <w:t xml:space="preserve"> </w:t>
      </w:r>
      <m:oMath>
        <m:sSub>
          <m:sSubPr>
            <m:ctrlPr>
              <w:rPr>
                <w:rFonts w:ascii="Cambria Math" w:hAnsi="Cambria Math"/>
                <w:sz w:val="22"/>
                <w:szCs w:val="22"/>
                <w:lang w:val="en-US" w:eastAsia="it-IT"/>
              </w:rPr>
            </m:ctrlPr>
          </m:sSubPr>
          <m:e>
            <m:r>
              <w:rPr>
                <w:rFonts w:ascii="Cambria Math" w:hAnsi="Cambria Math"/>
                <w:sz w:val="22"/>
                <w:szCs w:val="22"/>
                <w:lang w:val="en-US" w:eastAsia="it-IT"/>
              </w:rPr>
              <m:t>w</m:t>
            </m:r>
          </m:e>
          <m:sub>
            <m:r>
              <w:rPr>
                <w:rFonts w:ascii="Cambria Math" w:hAnsi="Cambria Math"/>
                <w:sz w:val="22"/>
                <w:szCs w:val="22"/>
                <w:lang w:val="en-US" w:eastAsia="it-IT"/>
              </w:rPr>
              <m:t>i</m:t>
            </m:r>
          </m:sub>
        </m:sSub>
        <m:r>
          <m:rPr>
            <m:sty m:val="p"/>
          </m:rPr>
          <w:rPr>
            <w:rFonts w:ascii="Cambria Math" w:hAnsi="Cambria Math"/>
            <w:sz w:val="22"/>
            <w:szCs w:val="22"/>
            <w:lang w:val="en-US" w:eastAsia="it-IT"/>
          </w:rPr>
          <m:t>=</m:t>
        </m:r>
        <m:f>
          <m:fPr>
            <m:ctrlPr>
              <w:rPr>
                <w:rFonts w:ascii="Cambria Math" w:hAnsi="Cambria Math"/>
                <w:sz w:val="22"/>
                <w:szCs w:val="22"/>
                <w:lang w:val="en-US" w:eastAsia="it-IT"/>
              </w:rPr>
            </m:ctrlPr>
          </m:fPr>
          <m:num>
            <m:r>
              <m:rPr>
                <m:sty m:val="p"/>
              </m:rPr>
              <w:rPr>
                <w:rFonts w:ascii="Cambria Math" w:hAnsi="Cambria Math"/>
                <w:sz w:val="22"/>
                <w:szCs w:val="22"/>
                <w:lang w:val="en-US" w:eastAsia="it-IT"/>
              </w:rPr>
              <m:t>1</m:t>
            </m:r>
          </m:num>
          <m:den>
            <m:r>
              <w:rPr>
                <w:rFonts w:ascii="Cambria Math" w:hAnsi="Cambria Math" w:cs="Cambria Math"/>
                <w:sz w:val="22"/>
                <w:szCs w:val="22"/>
                <w:lang w:val="en-US" w:eastAsia="it-IT"/>
              </w:rPr>
              <m:t>λ</m:t>
            </m:r>
            <m:d>
              <m:dPr>
                <m:ctrlPr>
                  <w:rPr>
                    <w:rFonts w:ascii="Cambria Math" w:hAnsi="Cambria Math"/>
                    <w:sz w:val="22"/>
                    <w:szCs w:val="22"/>
                    <w:lang w:val="en-US" w:eastAsia="it-IT"/>
                  </w:rPr>
                </m:ctrlPr>
              </m:dPr>
              <m:e>
                <m:sSub>
                  <m:sSubPr>
                    <m:ctrlPr>
                      <w:rPr>
                        <w:rFonts w:ascii="Cambria Math" w:hAnsi="Cambria Math"/>
                        <w:sz w:val="22"/>
                        <w:szCs w:val="22"/>
                        <w:lang w:val="en-US" w:eastAsia="it-IT"/>
                      </w:rPr>
                    </m:ctrlPr>
                  </m:sSubPr>
                  <m:e>
                    <m:r>
                      <w:rPr>
                        <w:rFonts w:ascii="Cambria Math" w:hAnsi="Cambria Math"/>
                        <w:sz w:val="22"/>
                        <w:szCs w:val="22"/>
                        <w:lang w:val="en-US" w:eastAsia="it-IT"/>
                      </w:rPr>
                      <m:t>x</m:t>
                    </m:r>
                  </m:e>
                  <m:sub>
                    <m:r>
                      <w:rPr>
                        <w:rFonts w:ascii="Cambria Math" w:hAnsi="Cambria Math"/>
                        <w:sz w:val="22"/>
                        <w:szCs w:val="22"/>
                        <w:lang w:val="en-US" w:eastAsia="it-IT"/>
                      </w:rPr>
                      <m:t>i</m:t>
                    </m:r>
                  </m:sub>
                </m:sSub>
              </m:e>
            </m:d>
          </m:den>
        </m:f>
      </m:oMath>
      <w:r w:rsidRPr="00C8624E">
        <w:rPr>
          <w:sz w:val="20"/>
        </w:rPr>
        <w:t xml:space="preserve"> . The inhomogeneous K-function is defined as</w:t>
      </w:r>
    </w:p>
    <w:p w:rsidR="005A08BB" w:rsidRPr="00C8624E" w:rsidRDefault="005A08BB" w:rsidP="00267D94">
      <w:pPr>
        <w:pStyle w:val="Maintextfirstline"/>
        <w:ind w:firstLine="284"/>
        <w:rPr>
          <w:sz w:val="20"/>
        </w:rPr>
      </w:pPr>
      <w:r w:rsidRPr="00C8624E">
        <w:rPr>
          <w:sz w:val="20"/>
        </w:rPr>
        <w:t xml:space="preserve"> </w:t>
      </w:r>
    </w:p>
    <w:p w:rsidR="005A08BB" w:rsidRPr="00C8624E" w:rsidRDefault="00C91E1E" w:rsidP="003C266F">
      <w:pPr>
        <w:pStyle w:val="Maintextfirstline"/>
        <w:jc w:val="center"/>
        <w:rPr>
          <w:sz w:val="20"/>
        </w:rPr>
      </w:pPr>
      <m:oMath>
        <m:sSub>
          <m:sSubPr>
            <m:ctrlPr>
              <w:rPr>
                <w:rFonts w:ascii="Cambria Math" w:hAnsi="Cambria Math"/>
                <w:sz w:val="20"/>
                <w:lang w:val="en-US" w:eastAsia="it-IT"/>
              </w:rPr>
            </m:ctrlPr>
          </m:sSubPr>
          <m:e>
            <m:r>
              <w:rPr>
                <w:rFonts w:ascii="Cambria Math" w:hAnsi="Cambria Math"/>
                <w:sz w:val="20"/>
                <w:lang w:val="en-US" w:eastAsia="it-IT"/>
              </w:rPr>
              <m:t xml:space="preserve">               K</m:t>
            </m:r>
          </m:e>
          <m:sub>
            <m:r>
              <m:rPr>
                <m:sty m:val="p"/>
              </m:rPr>
              <w:rPr>
                <w:rFonts w:ascii="Cambria Math" w:hAnsi="Cambria Math"/>
                <w:sz w:val="20"/>
                <w:lang w:val="en-US" w:eastAsia="it-IT"/>
              </w:rPr>
              <m:t>inhom</m:t>
            </m:r>
          </m:sub>
        </m:sSub>
        <m:d>
          <m:dPr>
            <m:ctrlPr>
              <w:rPr>
                <w:rFonts w:ascii="Cambria Math" w:hAnsi="Cambria Math"/>
                <w:sz w:val="20"/>
                <w:lang w:val="en-US" w:eastAsia="it-IT"/>
              </w:rPr>
            </m:ctrlPr>
          </m:dPr>
          <m:e>
            <m:r>
              <w:rPr>
                <w:rFonts w:ascii="Cambria Math" w:hAnsi="Cambria Math"/>
                <w:sz w:val="20"/>
                <w:lang w:val="en-US" w:eastAsia="it-IT"/>
              </w:rPr>
              <m:t>d</m:t>
            </m:r>
          </m:e>
        </m:d>
        <m:r>
          <m:rPr>
            <m:sty m:val="p"/>
          </m:rPr>
          <w:rPr>
            <w:rFonts w:ascii="Cambria Math" w:hAnsi="Cambria Math"/>
            <w:sz w:val="20"/>
            <w:lang w:val="en-US" w:eastAsia="it-IT"/>
          </w:rPr>
          <m:t>=E</m:t>
        </m:r>
        <m:d>
          <m:dPr>
            <m:begChr m:val="["/>
            <m:endChr m:val="]"/>
            <m:ctrlPr>
              <w:rPr>
                <w:rFonts w:ascii="Cambria Math" w:hAnsi="Cambria Math"/>
                <w:sz w:val="20"/>
                <w:lang w:val="en-US" w:eastAsia="it-IT"/>
              </w:rPr>
            </m:ctrlPr>
          </m:dPr>
          <m:e>
            <m:nary>
              <m:naryPr>
                <m:chr m:val="∑"/>
                <m:limLoc m:val="undOvr"/>
                <m:supHide m:val="1"/>
                <m:ctrlPr>
                  <w:rPr>
                    <w:rFonts w:ascii="Cambria Math" w:hAnsi="Cambria Math"/>
                    <w:sz w:val="20"/>
                    <w:lang w:val="en-US" w:eastAsia="it-IT"/>
                  </w:rPr>
                </m:ctrlPr>
              </m:naryPr>
              <m:sub>
                <m:sSub>
                  <m:sSubPr>
                    <m:ctrlPr>
                      <w:rPr>
                        <w:rFonts w:ascii="Cambria Math" w:hAnsi="Cambria Math"/>
                        <w:sz w:val="20"/>
                        <w:lang w:val="en-US" w:eastAsia="it-IT"/>
                      </w:rPr>
                    </m:ctrlPr>
                  </m:sSubPr>
                  <m:e>
                    <m:r>
                      <w:rPr>
                        <w:rFonts w:ascii="Cambria Math" w:hAnsi="Cambria Math"/>
                        <w:sz w:val="20"/>
                        <w:lang w:val="en-US" w:eastAsia="it-IT"/>
                      </w:rPr>
                      <m:t>x</m:t>
                    </m:r>
                  </m:e>
                  <m:sub>
                    <m:r>
                      <w:rPr>
                        <w:rFonts w:ascii="Cambria Math" w:hAnsi="Cambria Math"/>
                        <w:sz w:val="20"/>
                        <w:lang w:val="en-US" w:eastAsia="it-IT"/>
                      </w:rPr>
                      <m:t>j</m:t>
                    </m:r>
                  </m:sub>
                </m:sSub>
                <m:r>
                  <m:rPr>
                    <m:sty m:val="p"/>
                  </m:rPr>
                  <w:rPr>
                    <w:rFonts w:ascii="Cambria Math" w:hAnsi="Cambria Math"/>
                    <w:sz w:val="20"/>
                    <w:lang w:val="en-US" w:eastAsia="it-IT"/>
                  </w:rPr>
                  <m:t>∈</m:t>
                </m:r>
                <m:r>
                  <w:rPr>
                    <w:rFonts w:ascii="Cambria Math" w:hAnsi="Cambria Math"/>
                    <w:sz w:val="20"/>
                    <w:lang w:val="en-US" w:eastAsia="it-IT"/>
                  </w:rPr>
                  <m:t>X</m:t>
                </m:r>
              </m:sub>
              <m:sup/>
              <m:e>
                <m:r>
                  <m:rPr>
                    <m:sty m:val="p"/>
                  </m:rPr>
                  <w:rPr>
                    <w:rFonts w:ascii="Cambria Math" w:hAnsi="Cambria Math"/>
                    <w:sz w:val="20"/>
                    <w:lang w:val="en-US" w:eastAsia="it-IT"/>
                  </w:rPr>
                  <m:t>‍</m:t>
                </m:r>
              </m:e>
            </m:nary>
            <m:f>
              <m:fPr>
                <m:ctrlPr>
                  <w:rPr>
                    <w:rFonts w:ascii="Cambria Math" w:hAnsi="Cambria Math"/>
                    <w:sz w:val="20"/>
                    <w:lang w:val="en-US" w:eastAsia="it-IT"/>
                  </w:rPr>
                </m:ctrlPr>
              </m:fPr>
              <m:num>
                <m:r>
                  <m:rPr>
                    <m:sty m:val="p"/>
                  </m:rPr>
                  <w:rPr>
                    <w:rFonts w:ascii="Cambria Math" w:hAnsi="Cambria Math"/>
                    <w:sz w:val="20"/>
                    <w:lang w:val="en-US" w:eastAsia="it-IT"/>
                  </w:rPr>
                  <m:t>1</m:t>
                </m:r>
              </m:num>
              <m:den>
                <m:r>
                  <w:rPr>
                    <w:rFonts w:ascii="Cambria Math" w:hAnsi="Cambria Math"/>
                    <w:sz w:val="20"/>
                    <w:lang w:val="en-US" w:eastAsia="it-IT"/>
                  </w:rPr>
                  <m:t>λ</m:t>
                </m:r>
                <m:d>
                  <m:dPr>
                    <m:ctrlPr>
                      <w:rPr>
                        <w:rFonts w:ascii="Cambria Math" w:hAnsi="Cambria Math"/>
                        <w:sz w:val="20"/>
                        <w:lang w:val="en-US" w:eastAsia="it-IT"/>
                      </w:rPr>
                    </m:ctrlPr>
                  </m:dPr>
                  <m:e>
                    <m:sSub>
                      <m:sSubPr>
                        <m:ctrlPr>
                          <w:rPr>
                            <w:rFonts w:ascii="Cambria Math" w:hAnsi="Cambria Math"/>
                            <w:sz w:val="20"/>
                            <w:lang w:val="en-US" w:eastAsia="it-IT"/>
                          </w:rPr>
                        </m:ctrlPr>
                      </m:sSubPr>
                      <m:e>
                        <m:r>
                          <w:rPr>
                            <w:rFonts w:ascii="Cambria Math" w:hAnsi="Cambria Math"/>
                            <w:sz w:val="20"/>
                            <w:lang w:val="en-US" w:eastAsia="it-IT"/>
                          </w:rPr>
                          <m:t>x</m:t>
                        </m:r>
                      </m:e>
                      <m:sub>
                        <m:r>
                          <w:rPr>
                            <w:rFonts w:ascii="Cambria Math" w:hAnsi="Cambria Math"/>
                            <w:sz w:val="20"/>
                            <w:lang w:val="en-US" w:eastAsia="it-IT"/>
                          </w:rPr>
                          <m:t>j</m:t>
                        </m:r>
                      </m:sub>
                    </m:sSub>
                  </m:e>
                </m:d>
              </m:den>
            </m:f>
            <m:r>
              <m:rPr>
                <m:sty m:val="p"/>
              </m:rPr>
              <w:rPr>
                <w:rFonts w:ascii="Cambria Math" w:hAnsi="Cambria Math"/>
                <w:sz w:val="20"/>
                <w:lang w:val="en-US" w:eastAsia="it-IT"/>
              </w:rPr>
              <m:t>1</m:t>
            </m:r>
            <m:d>
              <m:dPr>
                <m:begChr m:val="{"/>
                <m:endChr m:val="}"/>
                <m:ctrlPr>
                  <w:rPr>
                    <w:rFonts w:ascii="Cambria Math" w:hAnsi="Cambria Math"/>
                    <w:sz w:val="20"/>
                    <w:lang w:val="en-US" w:eastAsia="it-IT"/>
                  </w:rPr>
                </m:ctrlPr>
              </m:dPr>
              <m:e>
                <m:r>
                  <m:rPr>
                    <m:sty m:val="p"/>
                  </m:rPr>
                  <w:rPr>
                    <w:rFonts w:ascii="Cambria Math" w:hAnsi="Cambria Math"/>
                    <w:sz w:val="20"/>
                    <w:lang w:val="en-US" w:eastAsia="it-IT"/>
                  </w:rPr>
                  <m:t>0&lt;</m:t>
                </m:r>
                <m:d>
                  <m:dPr>
                    <m:begChr m:val="‖"/>
                    <m:endChr m:val="‖"/>
                    <m:ctrlPr>
                      <w:rPr>
                        <w:rFonts w:ascii="Cambria Math" w:hAnsi="Cambria Math"/>
                        <w:sz w:val="20"/>
                        <w:lang w:val="en-US" w:eastAsia="it-IT"/>
                      </w:rPr>
                    </m:ctrlPr>
                  </m:dPr>
                  <m:e>
                    <m:r>
                      <w:rPr>
                        <w:rFonts w:ascii="Cambria Math" w:hAnsi="Cambria Math"/>
                        <w:sz w:val="20"/>
                        <w:lang w:val="en-US" w:eastAsia="it-IT"/>
                      </w:rPr>
                      <m:t>u</m:t>
                    </m:r>
                    <m:r>
                      <m:rPr>
                        <m:sty m:val="p"/>
                      </m:rPr>
                      <w:rPr>
                        <w:rFonts w:ascii="Cambria Math" w:hAnsi="Cambria Math"/>
                        <w:sz w:val="20"/>
                        <w:lang w:val="en-US" w:eastAsia="it-IT"/>
                      </w:rPr>
                      <m:t>-</m:t>
                    </m:r>
                    <m:sSub>
                      <m:sSubPr>
                        <m:ctrlPr>
                          <w:rPr>
                            <w:rFonts w:ascii="Cambria Math" w:hAnsi="Cambria Math"/>
                            <w:sz w:val="20"/>
                            <w:lang w:val="en-US" w:eastAsia="it-IT"/>
                          </w:rPr>
                        </m:ctrlPr>
                      </m:sSubPr>
                      <m:e>
                        <m:r>
                          <w:rPr>
                            <w:rFonts w:ascii="Cambria Math" w:hAnsi="Cambria Math"/>
                            <w:sz w:val="20"/>
                            <w:lang w:val="en-US" w:eastAsia="it-IT"/>
                          </w:rPr>
                          <m:t>x</m:t>
                        </m:r>
                      </m:e>
                      <m:sub>
                        <m:r>
                          <w:rPr>
                            <w:rFonts w:ascii="Cambria Math" w:hAnsi="Cambria Math"/>
                            <w:sz w:val="20"/>
                            <w:lang w:val="en-US" w:eastAsia="it-IT"/>
                          </w:rPr>
                          <m:t>j</m:t>
                        </m:r>
                      </m:sub>
                    </m:sSub>
                  </m:e>
                </m:d>
                <m:r>
                  <m:rPr>
                    <m:sty m:val="p"/>
                  </m:rPr>
                  <w:rPr>
                    <w:rFonts w:ascii="Cambria Math" w:hAnsi="Cambria Math"/>
                    <w:sz w:val="20"/>
                    <w:lang w:val="en-US" w:eastAsia="it-IT"/>
                  </w:rPr>
                  <m:t>≤</m:t>
                </m:r>
                <m:r>
                  <w:rPr>
                    <w:rFonts w:ascii="Cambria Math" w:hAnsi="Cambria Math"/>
                    <w:sz w:val="20"/>
                    <w:lang w:val="en-US" w:eastAsia="it-IT"/>
                  </w:rPr>
                  <m:t>d</m:t>
                </m:r>
                <m:d>
                  <m:dPr>
                    <m:begChr m:val="|"/>
                    <m:endChr m:val=""/>
                    <m:ctrlPr>
                      <w:rPr>
                        <w:rFonts w:ascii="Cambria Math" w:hAnsi="Cambria Math"/>
                        <w:sz w:val="20"/>
                        <w:lang w:val="en-US" w:eastAsia="it-IT"/>
                      </w:rPr>
                    </m:ctrlPr>
                  </m:dPr>
                  <m:e/>
                </m:d>
                <m:r>
                  <w:rPr>
                    <w:rFonts w:ascii="Cambria Math" w:hAnsi="Cambria Math"/>
                    <w:sz w:val="20"/>
                    <w:lang w:val="en-US" w:eastAsia="it-IT"/>
                  </w:rPr>
                  <m:t>u</m:t>
                </m:r>
                <m:r>
                  <m:rPr>
                    <m:sty m:val="p"/>
                  </m:rPr>
                  <w:rPr>
                    <w:rFonts w:ascii="Cambria Math" w:hAnsi="Cambria Math"/>
                    <w:sz w:val="20"/>
                    <w:lang w:val="en-US" w:eastAsia="it-IT"/>
                  </w:rPr>
                  <m:t>∈</m:t>
                </m:r>
                <m:r>
                  <w:rPr>
                    <w:rFonts w:ascii="Cambria Math" w:hAnsi="Cambria Math"/>
                    <w:sz w:val="20"/>
                    <w:lang w:val="en-US" w:eastAsia="it-IT"/>
                  </w:rPr>
                  <m:t>X</m:t>
                </m:r>
              </m:e>
            </m:d>
          </m:e>
        </m:d>
      </m:oMath>
      <w:r w:rsidR="003C266F" w:rsidRPr="00C8624E">
        <w:rPr>
          <w:sz w:val="20"/>
          <w:lang w:val="en-US"/>
        </w:rPr>
        <w:t xml:space="preserve">      </w:t>
      </w:r>
      <w:r w:rsidR="003C266F" w:rsidRPr="00C8624E">
        <w:rPr>
          <w:sz w:val="20"/>
        </w:rPr>
        <w:t xml:space="preserve"> </w:t>
      </w:r>
      <w:r w:rsidR="003C266F" w:rsidRPr="00C8624E">
        <w:rPr>
          <w:sz w:val="20"/>
        </w:rPr>
        <w:tab/>
        <w:t>(</w:t>
      </w:r>
      <w:r w:rsidR="005A08BB" w:rsidRPr="00C8624E">
        <w:rPr>
          <w:sz w:val="20"/>
        </w:rPr>
        <w:t>1)</w:t>
      </w:r>
    </w:p>
    <w:p w:rsidR="003E734F" w:rsidRPr="00C8624E" w:rsidRDefault="003E734F" w:rsidP="005A08BB">
      <w:pPr>
        <w:pStyle w:val="Maintextfirstline"/>
        <w:rPr>
          <w:sz w:val="20"/>
        </w:rPr>
      </w:pPr>
    </w:p>
    <w:p w:rsidR="005A08BB" w:rsidRPr="00C8624E" w:rsidRDefault="005A08BB" w:rsidP="005A08BB">
      <w:pPr>
        <w:pStyle w:val="Maintextfirstline"/>
        <w:rPr>
          <w:sz w:val="20"/>
        </w:rPr>
      </w:pPr>
      <w:r w:rsidRPr="00C8624E">
        <w:rPr>
          <w:sz w:val="20"/>
        </w:rPr>
        <w:t xml:space="preserve">where </w:t>
      </w:r>
      <w:r w:rsidR="00E14F4F" w:rsidRPr="00C8624E">
        <w:rPr>
          <w:sz w:val="20"/>
          <w:lang w:val="en-US" w:eastAsia="it-IT"/>
        </w:rPr>
        <w:t xml:space="preserve"> </w:t>
      </w:r>
      <m:oMath>
        <m:d>
          <m:dPr>
            <m:begChr m:val="‖"/>
            <m:endChr m:val="‖"/>
            <m:ctrlPr>
              <w:rPr>
                <w:rFonts w:ascii="Cambria Math" w:hAnsi="Cambria Math"/>
                <w:sz w:val="20"/>
                <w:lang w:val="en-US" w:eastAsia="it-IT"/>
              </w:rPr>
            </m:ctrlPr>
          </m:dPr>
          <m:e>
            <m:r>
              <w:rPr>
                <w:rFonts w:ascii="Cambria Math" w:hAnsi="Cambria Math"/>
                <w:sz w:val="20"/>
                <w:lang w:val="en-US" w:eastAsia="it-IT"/>
              </w:rPr>
              <m:t>u</m:t>
            </m:r>
            <m:r>
              <m:rPr>
                <m:sty m:val="p"/>
              </m:rPr>
              <w:rPr>
                <w:rFonts w:ascii="Cambria Math" w:hAnsi="Cambria Math"/>
                <w:sz w:val="20"/>
                <w:lang w:val="en-US" w:eastAsia="it-IT"/>
              </w:rPr>
              <m:t>-</m:t>
            </m:r>
            <m:sSub>
              <m:sSubPr>
                <m:ctrlPr>
                  <w:rPr>
                    <w:rFonts w:ascii="Cambria Math" w:hAnsi="Cambria Math"/>
                    <w:sz w:val="20"/>
                    <w:lang w:val="en-US" w:eastAsia="it-IT"/>
                  </w:rPr>
                </m:ctrlPr>
              </m:sSubPr>
              <m:e>
                <m:r>
                  <w:rPr>
                    <w:rFonts w:ascii="Cambria Math" w:hAnsi="Cambria Math"/>
                    <w:sz w:val="20"/>
                    <w:lang w:val="en-US" w:eastAsia="it-IT"/>
                  </w:rPr>
                  <m:t>x</m:t>
                </m:r>
              </m:e>
              <m:sub>
                <m:r>
                  <w:rPr>
                    <w:rFonts w:ascii="Cambria Math" w:hAnsi="Cambria Math"/>
                    <w:sz w:val="20"/>
                    <w:lang w:val="en-US" w:eastAsia="it-IT"/>
                  </w:rPr>
                  <m:t>j</m:t>
                </m:r>
              </m:sub>
            </m:sSub>
          </m:e>
        </m:d>
        <m:r>
          <w:rPr>
            <w:rFonts w:ascii="Cambria Math" w:hAnsi="Cambria Math"/>
            <w:sz w:val="20"/>
            <w:lang w:val="en-US" w:eastAsia="it-IT"/>
          </w:rPr>
          <m:t xml:space="preserve"> </m:t>
        </m:r>
      </m:oMath>
      <w:r w:rsidRPr="00C8624E">
        <w:rPr>
          <w:sz w:val="20"/>
        </w:rPr>
        <w:t xml:space="preserve">is the Euclidean distance between points </w:t>
      </w:r>
      <m:oMath>
        <m:r>
          <w:rPr>
            <w:rFonts w:ascii="Cambria Math" w:hAnsi="Cambria Math"/>
            <w:sz w:val="20"/>
            <w:lang w:val="en-US" w:eastAsia="it-IT"/>
          </w:rPr>
          <m:t>u</m:t>
        </m:r>
      </m:oMath>
      <w:r w:rsidRPr="00C8624E">
        <w:rPr>
          <w:sz w:val="20"/>
        </w:rPr>
        <w:t xml:space="preserve"> and </w:t>
      </w:r>
      <m:oMath>
        <m:sSub>
          <m:sSubPr>
            <m:ctrlPr>
              <w:rPr>
                <w:rFonts w:ascii="Cambria Math" w:hAnsi="Cambria Math"/>
                <w:sz w:val="20"/>
                <w:lang w:val="en-US" w:eastAsia="it-IT"/>
              </w:rPr>
            </m:ctrlPr>
          </m:sSubPr>
          <m:e>
            <m:r>
              <w:rPr>
                <w:rFonts w:ascii="Cambria Math" w:hAnsi="Cambria Math"/>
                <w:sz w:val="20"/>
                <w:lang w:val="en-US" w:eastAsia="it-IT"/>
              </w:rPr>
              <m:t>x</m:t>
            </m:r>
          </m:e>
          <m:sub>
            <m:r>
              <w:rPr>
                <w:rFonts w:ascii="Cambria Math" w:hAnsi="Cambria Math"/>
                <w:sz w:val="20"/>
                <w:lang w:val="en-US" w:eastAsia="it-IT"/>
              </w:rPr>
              <m:t>j</m:t>
            </m:r>
          </m:sub>
        </m:sSub>
      </m:oMath>
      <w:r w:rsidR="00E14F4F" w:rsidRPr="00C8624E">
        <w:rPr>
          <w:sz w:val="20"/>
          <w:lang w:val="en-US" w:eastAsia="it-IT"/>
        </w:rPr>
        <w:t xml:space="preserve"> </w:t>
      </w:r>
      <w:r w:rsidRPr="00C8624E">
        <w:rPr>
          <w:sz w:val="20"/>
        </w:rPr>
        <w:t>and 1{…} is</w:t>
      </w:r>
      <w:r w:rsidR="00267D94" w:rsidRPr="00C8624E">
        <w:rPr>
          <w:sz w:val="20"/>
        </w:rPr>
        <w:t xml:space="preserve"> the indicator function. </w:t>
      </w:r>
      <w:r w:rsidRPr="00C8624E">
        <w:rPr>
          <w:sz w:val="20"/>
        </w:rPr>
        <w:t xml:space="preserve">Clustered point patterns arise from the joint action of spatial inhomogeneity and spatial attraction. To distinguish between these two sources is challenging task, since many spatial processes are “equifinal”, i.e. one realization of a point process may be consistent with underlying processes involving clustering due to either spatial inhomogeneity or spatial attraction (Harvey, 1966). Mazza and Punzo (2016) deal with this issue using a case-control approach. In case-control studies, data consist of a realization of two spatial point processes, one representing cases of a condition of interest and the other representing controls drawn at random from the population at risk. Assuming that the size of the population at risk tends to infinity and the sampling fraction to zero, the controls constitute a realization of an IPP with intensity </w:t>
      </w:r>
      <m:oMath>
        <m:sSup>
          <m:sSupPr>
            <m:ctrlPr>
              <w:rPr>
                <w:rFonts w:ascii="Cambria Math" w:hAnsi="Cambria Math"/>
                <w:sz w:val="22"/>
                <w:szCs w:val="22"/>
                <w:lang w:val="en-US" w:eastAsia="it-IT"/>
              </w:rPr>
            </m:ctrlPr>
          </m:sSupPr>
          <m:e>
            <m:r>
              <w:rPr>
                <w:rFonts w:ascii="Cambria Math" w:hAnsi="Cambria Math" w:cs="Cambria Math"/>
                <w:sz w:val="22"/>
                <w:szCs w:val="22"/>
                <w:lang w:val="en-US" w:eastAsia="it-IT"/>
              </w:rPr>
              <m:t>λ</m:t>
            </m:r>
          </m:e>
          <m:sup>
            <m:r>
              <m:rPr>
                <m:sty m:val="p"/>
              </m:rPr>
              <w:rPr>
                <w:rFonts w:ascii="Cambria Math" w:hAnsi="Cambria Math"/>
                <w:sz w:val="22"/>
                <w:szCs w:val="22"/>
                <w:lang w:val="en-US" w:eastAsia="it-IT"/>
              </w:rPr>
              <m:t>*</m:t>
            </m:r>
          </m:sup>
        </m:sSup>
        <m:r>
          <m:rPr>
            <m:sty m:val="p"/>
          </m:rPr>
          <w:rPr>
            <w:rFonts w:ascii="Cambria Math" w:hAnsi="Cambria Math"/>
            <w:sz w:val="22"/>
            <w:szCs w:val="22"/>
            <w:lang w:val="en-US" w:eastAsia="it-IT"/>
          </w:rPr>
          <m:t>(</m:t>
        </m:r>
        <m:r>
          <w:rPr>
            <w:rFonts w:ascii="Cambria Math" w:hAnsi="Cambria Math"/>
            <w:sz w:val="22"/>
            <w:szCs w:val="22"/>
            <w:lang w:val="en-US" w:eastAsia="it-IT"/>
          </w:rPr>
          <m:t>u</m:t>
        </m:r>
        <m:r>
          <m:rPr>
            <m:sty m:val="p"/>
          </m:rPr>
          <w:rPr>
            <w:rFonts w:ascii="Cambria Math" w:hAnsi="Cambria Math"/>
            <w:sz w:val="22"/>
            <w:szCs w:val="22"/>
            <w:lang w:val="en-US" w:eastAsia="it-IT"/>
          </w:rPr>
          <m:t>)</m:t>
        </m:r>
      </m:oMath>
      <w:r w:rsidRPr="00C8624E">
        <w:rPr>
          <w:sz w:val="20"/>
        </w:rPr>
        <w:t xml:space="preserve">; the cases form a second, independent, point process – which may or may not be a Poisson process – with intensity </w:t>
      </w:r>
      <m:oMath>
        <m:r>
          <w:rPr>
            <w:rFonts w:ascii="Cambria Math" w:hAnsi="Cambria Math" w:cs="Cambria Math"/>
            <w:sz w:val="22"/>
            <w:szCs w:val="22"/>
            <w:lang w:val="en-US" w:eastAsia="it-IT"/>
          </w:rPr>
          <m:t>λ</m:t>
        </m:r>
        <m:r>
          <m:rPr>
            <m:sty m:val="p"/>
          </m:rPr>
          <w:rPr>
            <w:rFonts w:ascii="Cambria Math" w:hAnsi="Cambria Math"/>
            <w:sz w:val="22"/>
            <w:szCs w:val="22"/>
            <w:lang w:val="en-US" w:eastAsia="it-IT"/>
          </w:rPr>
          <m:t>(</m:t>
        </m:r>
        <m:r>
          <w:rPr>
            <w:rFonts w:ascii="Cambria Math" w:hAnsi="Cambria Math"/>
            <w:sz w:val="22"/>
            <w:szCs w:val="22"/>
            <w:lang w:val="en-US" w:eastAsia="it-IT"/>
          </w:rPr>
          <m:t>u</m:t>
        </m:r>
        <m:r>
          <m:rPr>
            <m:sty m:val="p"/>
          </m:rPr>
          <w:rPr>
            <w:rFonts w:ascii="Cambria Math" w:hAnsi="Cambria Math"/>
            <w:sz w:val="22"/>
            <w:szCs w:val="22"/>
            <w:lang w:val="en-US" w:eastAsia="it-IT"/>
          </w:rPr>
          <m:t>)</m:t>
        </m:r>
      </m:oMath>
      <w:r w:rsidR="00E14F4F" w:rsidRPr="00C8624E">
        <w:rPr>
          <w:sz w:val="22"/>
          <w:szCs w:val="22"/>
          <w:lang w:val="en-US" w:eastAsia="it-IT"/>
        </w:rPr>
        <w:t xml:space="preserve">. </w:t>
      </w:r>
      <w:r w:rsidRPr="00C8624E">
        <w:rPr>
          <w:sz w:val="20"/>
        </w:rPr>
        <w:t xml:space="preserve">The question of interest is whether the cases form an IPP with intensity proportional to that of the controls, i.e., </w:t>
      </w:r>
      <m:oMath>
        <m:r>
          <m:rPr>
            <m:sty m:val="p"/>
          </m:rPr>
          <w:rPr>
            <w:rFonts w:ascii="Cambria Math" w:hAnsi="Cambria Math"/>
            <w:sz w:val="22"/>
            <w:szCs w:val="22"/>
            <w:lang w:val="en-US" w:eastAsia="it-IT"/>
          </w:rPr>
          <m:t>(</m:t>
        </m:r>
        <m:r>
          <w:rPr>
            <w:rFonts w:ascii="Cambria Math" w:hAnsi="Cambria Math"/>
            <w:sz w:val="22"/>
            <w:szCs w:val="22"/>
            <w:lang w:val="en-US" w:eastAsia="it-IT"/>
          </w:rPr>
          <m:t>u</m:t>
        </m:r>
        <m:r>
          <m:rPr>
            <m:sty m:val="p"/>
          </m:rPr>
          <w:rPr>
            <w:rFonts w:ascii="Cambria Math" w:hAnsi="Cambria Math"/>
            <w:sz w:val="22"/>
            <w:szCs w:val="22"/>
            <w:lang w:val="en-US" w:eastAsia="it-IT"/>
          </w:rPr>
          <m:t>)=</m:t>
        </m:r>
        <m:r>
          <w:rPr>
            <w:rFonts w:ascii="Cambria Math" w:hAnsi="Cambria Math" w:cs="Cambria Math"/>
            <w:sz w:val="22"/>
            <w:szCs w:val="22"/>
            <w:lang w:val="en-US" w:eastAsia="it-IT"/>
          </w:rPr>
          <m:t>ρ</m:t>
        </m:r>
        <m:sSup>
          <m:sSupPr>
            <m:ctrlPr>
              <w:rPr>
                <w:rFonts w:ascii="Cambria Math" w:hAnsi="Cambria Math"/>
                <w:sz w:val="22"/>
                <w:szCs w:val="22"/>
                <w:lang w:val="en-US" w:eastAsia="it-IT"/>
              </w:rPr>
            </m:ctrlPr>
          </m:sSupPr>
          <m:e>
            <m:r>
              <w:rPr>
                <w:rFonts w:ascii="Cambria Math" w:hAnsi="Cambria Math" w:cs="Cambria Math"/>
                <w:sz w:val="22"/>
                <w:szCs w:val="22"/>
                <w:lang w:val="en-US" w:eastAsia="it-IT"/>
              </w:rPr>
              <m:t>λ</m:t>
            </m:r>
          </m:e>
          <m:sup>
            <m:r>
              <m:rPr>
                <m:sty m:val="p"/>
              </m:rPr>
              <w:rPr>
                <w:rFonts w:ascii="Cambria Math" w:hAnsi="Cambria Math"/>
                <w:sz w:val="22"/>
                <w:szCs w:val="22"/>
                <w:lang w:val="en-US" w:eastAsia="it-IT"/>
              </w:rPr>
              <m:t>*</m:t>
            </m:r>
          </m:sup>
        </m:sSup>
        <m:r>
          <m:rPr>
            <m:sty m:val="p"/>
          </m:rPr>
          <w:rPr>
            <w:rFonts w:ascii="Cambria Math" w:hAnsi="Cambria Math"/>
            <w:sz w:val="22"/>
            <w:szCs w:val="22"/>
            <w:lang w:val="en-US" w:eastAsia="it-IT"/>
          </w:rPr>
          <m:t>(</m:t>
        </m:r>
        <m:r>
          <w:rPr>
            <w:rFonts w:ascii="Cambria Math" w:hAnsi="Cambria Math"/>
            <w:sz w:val="22"/>
            <w:szCs w:val="22"/>
            <w:lang w:val="en-US" w:eastAsia="it-IT"/>
          </w:rPr>
          <m:t>u</m:t>
        </m:r>
        <m:r>
          <m:rPr>
            <m:sty m:val="p"/>
          </m:rPr>
          <w:rPr>
            <w:rFonts w:ascii="Cambria Math" w:hAnsi="Cambria Math"/>
            <w:sz w:val="22"/>
            <w:szCs w:val="22"/>
            <w:lang w:val="en-US" w:eastAsia="it-IT"/>
          </w:rPr>
          <m:t>)</m:t>
        </m:r>
      </m:oMath>
      <w:r w:rsidR="00E14F4F" w:rsidRPr="00C8624E">
        <w:rPr>
          <w:sz w:val="22"/>
          <w:szCs w:val="22"/>
          <w:lang w:val="en-US" w:eastAsia="it-IT"/>
        </w:rPr>
        <w:t xml:space="preserve">, </w:t>
      </w:r>
      <w:r w:rsidRPr="00C8624E">
        <w:rPr>
          <w:sz w:val="20"/>
        </w:rPr>
        <w:t>or whether they exhibit additional spatial structure.</w:t>
      </w:r>
    </w:p>
    <w:p w:rsidR="003E734F" w:rsidRPr="00C8624E" w:rsidRDefault="005A08BB" w:rsidP="005A08BB">
      <w:pPr>
        <w:pStyle w:val="Maintextfirstline"/>
        <w:rPr>
          <w:sz w:val="20"/>
        </w:rPr>
      </w:pPr>
      <w:r w:rsidRPr="00C8624E">
        <w:rPr>
          <w:sz w:val="20"/>
        </w:rPr>
        <w:t xml:space="preserve">Diggle et al. (2007) propose that the ratio between the intensity functions may be modeled to depend on a vector of m spatially </w:t>
      </w:r>
      <w:r w:rsidR="00E14F4F" w:rsidRPr="00C8624E">
        <w:rPr>
          <w:sz w:val="20"/>
        </w:rPr>
        <w:t>referenced covariates</w:t>
      </w:r>
    </w:p>
    <w:p w:rsidR="00E14F4F" w:rsidRPr="00C8624E" w:rsidRDefault="00E14F4F" w:rsidP="005A08BB">
      <w:pPr>
        <w:pStyle w:val="Maintextfirstline"/>
        <w:rPr>
          <w:sz w:val="20"/>
        </w:rPr>
      </w:pPr>
      <w:r w:rsidRPr="00C8624E">
        <w:rPr>
          <w:sz w:val="20"/>
        </w:rPr>
        <w:t xml:space="preserve"> </w:t>
      </w:r>
    </w:p>
    <w:p w:rsidR="005A08BB" w:rsidRPr="00C8624E" w:rsidRDefault="003E734F" w:rsidP="00E14F4F">
      <w:pPr>
        <w:pStyle w:val="Maintextfirstline"/>
        <w:jc w:val="center"/>
        <w:rPr>
          <w:sz w:val="20"/>
        </w:rPr>
      </w:pPr>
      <m:oMath>
        <m:r>
          <m:rPr>
            <m:sty m:val="b"/>
          </m:rPr>
          <w:rPr>
            <w:rFonts w:ascii="Cambria Math" w:hAnsi="Cambria Math"/>
            <w:sz w:val="20"/>
            <w:lang w:val="en-US" w:eastAsia="it-IT"/>
          </w:rPr>
          <m:t xml:space="preserve">                  z</m:t>
        </m:r>
        <m:d>
          <m:dPr>
            <m:ctrlPr>
              <w:rPr>
                <w:rFonts w:ascii="Cambria Math" w:hAnsi="Cambria Math"/>
                <w:sz w:val="20"/>
                <w:lang w:val="en-US" w:eastAsia="it-IT"/>
              </w:rPr>
            </m:ctrlPr>
          </m:dPr>
          <m:e>
            <m:r>
              <w:rPr>
                <w:rFonts w:ascii="Cambria Math" w:hAnsi="Cambria Math"/>
                <w:sz w:val="20"/>
                <w:lang w:val="en-US" w:eastAsia="it-IT"/>
              </w:rPr>
              <m:t>u</m:t>
            </m:r>
          </m:e>
        </m:d>
        <m:r>
          <m:rPr>
            <m:sty m:val="p"/>
          </m:rPr>
          <w:rPr>
            <w:rFonts w:ascii="Cambria Math" w:hAnsi="Cambria Math"/>
            <w:sz w:val="20"/>
            <w:lang w:val="en-US" w:eastAsia="it-IT"/>
          </w:rPr>
          <m:t>=</m:t>
        </m:r>
        <m:sSup>
          <m:sSupPr>
            <m:ctrlPr>
              <w:rPr>
                <w:rFonts w:ascii="Cambria Math" w:hAnsi="Cambria Math"/>
                <w:sz w:val="20"/>
                <w:lang w:val="en-US" w:eastAsia="it-IT"/>
              </w:rPr>
            </m:ctrlPr>
          </m:sSupPr>
          <m:e>
            <m:d>
              <m:dPr>
                <m:ctrlPr>
                  <w:rPr>
                    <w:rFonts w:ascii="Cambria Math" w:hAnsi="Cambria Math"/>
                    <w:sz w:val="20"/>
                    <w:lang w:val="en-US" w:eastAsia="it-IT"/>
                  </w:rPr>
                </m:ctrlPr>
              </m:dPr>
              <m:e>
                <m:sSub>
                  <m:sSubPr>
                    <m:ctrlPr>
                      <w:rPr>
                        <w:rFonts w:ascii="Cambria Math" w:hAnsi="Cambria Math"/>
                        <w:sz w:val="20"/>
                        <w:lang w:val="en-US" w:eastAsia="it-IT"/>
                      </w:rPr>
                    </m:ctrlPr>
                  </m:sSubPr>
                  <m:e>
                    <m:r>
                      <w:rPr>
                        <w:rFonts w:ascii="Cambria Math" w:hAnsi="Cambria Math"/>
                        <w:sz w:val="20"/>
                        <w:lang w:val="en-US" w:eastAsia="it-IT"/>
                      </w:rPr>
                      <m:t>z</m:t>
                    </m:r>
                  </m:e>
                  <m:sub>
                    <m:r>
                      <m:rPr>
                        <m:sty m:val="p"/>
                      </m:rPr>
                      <w:rPr>
                        <w:rFonts w:ascii="Cambria Math" w:hAnsi="Cambria Math"/>
                        <w:sz w:val="20"/>
                        <w:lang w:val="en-US" w:eastAsia="it-IT"/>
                      </w:rPr>
                      <m:t>1</m:t>
                    </m:r>
                  </m:sub>
                </m:sSub>
                <m:d>
                  <m:dPr>
                    <m:ctrlPr>
                      <w:rPr>
                        <w:rFonts w:ascii="Cambria Math" w:hAnsi="Cambria Math"/>
                        <w:sz w:val="20"/>
                        <w:lang w:val="en-US" w:eastAsia="it-IT"/>
                      </w:rPr>
                    </m:ctrlPr>
                  </m:dPr>
                  <m:e>
                    <m:r>
                      <w:rPr>
                        <w:rFonts w:ascii="Cambria Math" w:hAnsi="Cambria Math"/>
                        <w:sz w:val="20"/>
                        <w:lang w:val="en-US" w:eastAsia="it-IT"/>
                      </w:rPr>
                      <m:t>u</m:t>
                    </m:r>
                  </m:e>
                </m:d>
                <m:r>
                  <m:rPr>
                    <m:sty m:val="p"/>
                  </m:rPr>
                  <w:rPr>
                    <w:rFonts w:ascii="Cambria Math" w:hAnsi="Cambria Math"/>
                    <w:sz w:val="20"/>
                    <w:lang w:val="en-US" w:eastAsia="it-IT"/>
                  </w:rPr>
                  <m:t>,…,</m:t>
                </m:r>
                <m:sSub>
                  <m:sSubPr>
                    <m:ctrlPr>
                      <w:rPr>
                        <w:rFonts w:ascii="Cambria Math" w:hAnsi="Cambria Math"/>
                        <w:sz w:val="20"/>
                        <w:lang w:val="en-US" w:eastAsia="it-IT"/>
                      </w:rPr>
                    </m:ctrlPr>
                  </m:sSubPr>
                  <m:e>
                    <m:r>
                      <w:rPr>
                        <w:rFonts w:ascii="Cambria Math" w:hAnsi="Cambria Math"/>
                        <w:sz w:val="20"/>
                        <w:lang w:val="en-US" w:eastAsia="it-IT"/>
                      </w:rPr>
                      <m:t>z</m:t>
                    </m:r>
                  </m:e>
                  <m:sub>
                    <m:r>
                      <w:rPr>
                        <w:rFonts w:ascii="Cambria Math" w:hAnsi="Cambria Math"/>
                        <w:sz w:val="20"/>
                        <w:lang w:val="en-US" w:eastAsia="it-IT"/>
                      </w:rPr>
                      <m:t>m</m:t>
                    </m:r>
                  </m:sub>
                </m:sSub>
                <m:d>
                  <m:dPr>
                    <m:ctrlPr>
                      <w:rPr>
                        <w:rFonts w:ascii="Cambria Math" w:hAnsi="Cambria Math"/>
                        <w:sz w:val="20"/>
                        <w:lang w:val="en-US" w:eastAsia="it-IT"/>
                      </w:rPr>
                    </m:ctrlPr>
                  </m:dPr>
                  <m:e>
                    <m:r>
                      <w:rPr>
                        <w:rFonts w:ascii="Cambria Math" w:hAnsi="Cambria Math"/>
                        <w:sz w:val="20"/>
                        <w:lang w:val="en-US" w:eastAsia="it-IT"/>
                      </w:rPr>
                      <m:t>u</m:t>
                    </m:r>
                  </m:e>
                </m:d>
              </m:e>
            </m:d>
          </m:e>
          <m:sup>
            <m:r>
              <m:rPr>
                <m:sty m:val="p"/>
              </m:rPr>
              <w:rPr>
                <w:rFonts w:ascii="Cambria Math" w:hAnsi="Cambria Math"/>
                <w:sz w:val="20"/>
                <w:lang w:val="en-US" w:eastAsia="it-IT"/>
              </w:rPr>
              <m:t>'</m:t>
            </m:r>
          </m:sup>
        </m:sSup>
      </m:oMath>
      <w:r w:rsidR="00E14F4F" w:rsidRPr="00C8624E">
        <w:rPr>
          <w:rFonts w:asciiTheme="majorHAnsi" w:hAnsiTheme="majorHAnsi"/>
          <w:sz w:val="20"/>
        </w:rPr>
        <w:t xml:space="preserve">, i.e.  ; </w:t>
      </w:r>
      <m:oMath>
        <m:r>
          <w:rPr>
            <w:rFonts w:ascii="Cambria Math" w:hAnsi="Cambria Math"/>
            <w:sz w:val="20"/>
            <w:lang w:val="en-US" w:eastAsia="it-IT"/>
          </w:rPr>
          <m:t>λ</m:t>
        </m:r>
        <m:r>
          <m:rPr>
            <m:sty m:val="p"/>
          </m:rPr>
          <w:rPr>
            <w:rFonts w:ascii="Cambria Math" w:hAnsi="Cambria Math"/>
            <w:sz w:val="20"/>
            <w:lang w:val="en-US" w:eastAsia="it-IT"/>
          </w:rPr>
          <m:t>(</m:t>
        </m:r>
        <m:r>
          <w:rPr>
            <w:rFonts w:ascii="Cambria Math" w:hAnsi="Cambria Math"/>
            <w:sz w:val="20"/>
            <w:lang w:val="en-US" w:eastAsia="it-IT"/>
          </w:rPr>
          <m:t>u</m:t>
        </m:r>
        <m:r>
          <m:rPr>
            <m:sty m:val="p"/>
          </m:rPr>
          <w:rPr>
            <w:rFonts w:ascii="Cambria Math" w:hAnsi="Cambria Math"/>
            <w:sz w:val="20"/>
            <w:lang w:val="en-US" w:eastAsia="it-IT"/>
          </w:rPr>
          <m:t>)=</m:t>
        </m:r>
        <m:sSup>
          <m:sSupPr>
            <m:ctrlPr>
              <w:rPr>
                <w:rFonts w:ascii="Cambria Math" w:hAnsi="Cambria Math"/>
                <w:sz w:val="20"/>
                <w:lang w:val="en-US" w:eastAsia="it-IT"/>
              </w:rPr>
            </m:ctrlPr>
          </m:sSupPr>
          <m:e>
            <m:r>
              <w:rPr>
                <w:rFonts w:ascii="Cambria Math" w:hAnsi="Cambria Math"/>
                <w:sz w:val="20"/>
                <w:lang w:val="en-US" w:eastAsia="it-IT"/>
              </w:rPr>
              <m:t>λ</m:t>
            </m:r>
          </m:e>
          <m:sup>
            <m:r>
              <m:rPr>
                <m:sty m:val="p"/>
              </m:rPr>
              <w:rPr>
                <w:rFonts w:ascii="Cambria Math" w:hAnsi="Cambria Math"/>
                <w:sz w:val="20"/>
                <w:lang w:val="en-US" w:eastAsia="it-IT"/>
              </w:rPr>
              <m:t>*</m:t>
            </m:r>
          </m:sup>
        </m:sSup>
        <m:d>
          <m:dPr>
            <m:ctrlPr>
              <w:rPr>
                <w:rFonts w:ascii="Cambria Math" w:hAnsi="Cambria Math"/>
                <w:sz w:val="20"/>
                <w:lang w:val="en-US" w:eastAsia="it-IT"/>
              </w:rPr>
            </m:ctrlPr>
          </m:dPr>
          <m:e>
            <m:r>
              <w:rPr>
                <w:rFonts w:ascii="Cambria Math" w:hAnsi="Cambria Math"/>
                <w:sz w:val="20"/>
                <w:lang w:val="en-US" w:eastAsia="it-IT"/>
              </w:rPr>
              <m:t>u</m:t>
            </m:r>
          </m:e>
        </m:d>
        <m:r>
          <w:rPr>
            <w:rFonts w:ascii="Cambria Math" w:hAnsi="Cambria Math"/>
            <w:sz w:val="20"/>
            <w:lang w:val="en-US" w:eastAsia="it-IT"/>
          </w:rPr>
          <m:t>f</m:t>
        </m:r>
        <m:d>
          <m:dPr>
            <m:ctrlPr>
              <w:rPr>
                <w:rFonts w:ascii="Cambria Math" w:hAnsi="Cambria Math"/>
                <w:sz w:val="20"/>
                <w:lang w:val="en-US" w:eastAsia="it-IT"/>
              </w:rPr>
            </m:ctrlPr>
          </m:dPr>
          <m:e>
            <m:r>
              <m:rPr>
                <m:sty m:val="b"/>
              </m:rPr>
              <w:rPr>
                <w:rFonts w:ascii="Cambria Math" w:hAnsi="Cambria Math"/>
                <w:sz w:val="20"/>
                <w:lang w:val="en-US" w:eastAsia="it-IT"/>
              </w:rPr>
              <m:t>z</m:t>
            </m:r>
            <m:r>
              <m:rPr>
                <m:sty m:val="p"/>
              </m:rPr>
              <w:rPr>
                <w:rFonts w:ascii="Cambria Math" w:hAnsi="Cambria Math"/>
                <w:sz w:val="20"/>
                <w:lang w:val="en-US" w:eastAsia="it-IT"/>
              </w:rPr>
              <m:t>(</m:t>
            </m:r>
            <m:r>
              <w:rPr>
                <w:rFonts w:ascii="Cambria Math" w:hAnsi="Cambria Math"/>
                <w:sz w:val="20"/>
                <w:lang w:val="en-US" w:eastAsia="it-IT"/>
              </w:rPr>
              <m:t>u</m:t>
            </m:r>
            <m:r>
              <m:rPr>
                <m:sty m:val="p"/>
              </m:rPr>
              <w:rPr>
                <w:rFonts w:ascii="Cambria Math" w:hAnsi="Cambria Math"/>
                <w:sz w:val="20"/>
                <w:lang w:val="en-US" w:eastAsia="it-IT"/>
              </w:rPr>
              <m:t>);</m:t>
            </m:r>
            <m:r>
              <m:rPr>
                <m:sty m:val="bi"/>
              </m:rPr>
              <w:rPr>
                <w:rFonts w:ascii="Cambria Math" w:hAnsi="Cambria Math"/>
                <w:sz w:val="20"/>
                <w:lang w:val="en-US" w:eastAsia="it-IT"/>
              </w:rPr>
              <m:t>θ</m:t>
            </m:r>
          </m:e>
        </m:d>
      </m:oMath>
      <w:r w:rsidR="00E14F4F" w:rsidRPr="00C8624E">
        <w:rPr>
          <w:sz w:val="20"/>
        </w:rPr>
        <w:tab/>
      </w:r>
      <w:r w:rsidR="005465E0" w:rsidRPr="00C8624E">
        <w:rPr>
          <w:sz w:val="20"/>
        </w:rPr>
        <w:t xml:space="preserve">              </w:t>
      </w:r>
      <w:r w:rsidR="005A08BB" w:rsidRPr="00C8624E">
        <w:rPr>
          <w:sz w:val="20"/>
        </w:rPr>
        <w:t>(2)</w:t>
      </w:r>
    </w:p>
    <w:p w:rsidR="003E734F" w:rsidRPr="00C8624E" w:rsidRDefault="003E734F" w:rsidP="005A08BB">
      <w:pPr>
        <w:pStyle w:val="Maintextfirstline"/>
        <w:rPr>
          <w:sz w:val="20"/>
        </w:rPr>
      </w:pPr>
    </w:p>
    <w:p w:rsidR="005A08BB" w:rsidRPr="00C8624E" w:rsidRDefault="005A08BB" w:rsidP="005A08BB">
      <w:pPr>
        <w:pStyle w:val="Maintextfirstline"/>
        <w:rPr>
          <w:sz w:val="20"/>
        </w:rPr>
      </w:pPr>
      <w:r w:rsidRPr="00C8624E">
        <w:rPr>
          <w:sz w:val="20"/>
        </w:rPr>
        <w:t xml:space="preserve">where </w:t>
      </w:r>
      <m:oMath>
        <m:r>
          <w:rPr>
            <w:rFonts w:ascii="Cambria Math" w:hAnsi="Cambria Math"/>
            <w:sz w:val="22"/>
            <w:szCs w:val="22"/>
            <w:lang w:val="en-US" w:eastAsia="it-IT"/>
          </w:rPr>
          <m:t>f</m:t>
        </m:r>
        <m:d>
          <m:dPr>
            <m:ctrlPr>
              <w:rPr>
                <w:rFonts w:ascii="Cambria Math" w:hAnsi="Cambria Math"/>
                <w:sz w:val="22"/>
                <w:szCs w:val="22"/>
                <w:lang w:val="en-US" w:eastAsia="it-IT"/>
              </w:rPr>
            </m:ctrlPr>
          </m:dPr>
          <m:e>
            <m:r>
              <m:rPr>
                <m:sty m:val="p"/>
              </m:rPr>
              <w:rPr>
                <w:rFonts w:ascii="Cambria Math" w:hAnsi="Cambria Math"/>
                <w:sz w:val="22"/>
                <w:szCs w:val="22"/>
                <w:lang w:val="en-US" w:eastAsia="it-IT"/>
              </w:rPr>
              <m:t>⋅</m:t>
            </m:r>
          </m:e>
        </m:d>
      </m:oMath>
      <w:r w:rsidR="00E14F4F" w:rsidRPr="00C8624E">
        <w:rPr>
          <w:sz w:val="22"/>
          <w:szCs w:val="22"/>
          <w:lang w:val="en-US" w:eastAsia="it-IT"/>
        </w:rPr>
        <w:t xml:space="preserve"> </w:t>
      </w:r>
      <w:r w:rsidRPr="00C8624E">
        <w:rPr>
          <w:sz w:val="20"/>
        </w:rPr>
        <w:t>is any nonnegative function, either nonlinear parametric with parameters θ as in (2), or nonparametrically specified.</w:t>
      </w:r>
    </w:p>
    <w:p w:rsidR="005A08BB" w:rsidRPr="00C8624E" w:rsidRDefault="005A08BB" w:rsidP="005A08BB">
      <w:pPr>
        <w:pStyle w:val="Maintextfirstline"/>
        <w:rPr>
          <w:sz w:val="20"/>
        </w:rPr>
      </w:pPr>
      <w:r w:rsidRPr="00C8624E">
        <w:rPr>
          <w:sz w:val="20"/>
        </w:rPr>
        <w:t xml:space="preserve">Our controls are a random sample of native household locations, and economic constraints are taken into account through explanatory spatial covariates related to the cost of residential property and job availability. </w:t>
      </w:r>
    </w:p>
    <w:p w:rsidR="001A4EF9" w:rsidRPr="00C8624E" w:rsidRDefault="005A08BB" w:rsidP="001A4EF9">
      <w:pPr>
        <w:pStyle w:val="Maintextfirstline"/>
        <w:rPr>
          <w:sz w:val="20"/>
        </w:rPr>
      </w:pPr>
      <w:r w:rsidRPr="00C8624E">
        <w:rPr>
          <w:sz w:val="20"/>
        </w:rPr>
        <w:t xml:space="preserve">Data at hand come from the administrative register of the city of Messina, at December 31, 2016. Register data have been integrated within a geographical information system, and all the residential addresses geocoded. Other data used are the rent cost per square meter for private residential properties, as collected by the Italian Revenue Agency (OMI database). Computations are carried out by means of the </w:t>
      </w:r>
      <w:r w:rsidRPr="00C8624E">
        <w:rPr>
          <w:noProof/>
          <w:sz w:val="20"/>
        </w:rPr>
        <w:t>spatstat</w:t>
      </w:r>
      <w:r w:rsidRPr="00C8624E">
        <w:rPr>
          <w:sz w:val="20"/>
        </w:rPr>
        <w:t xml:space="preserve"> package (Baddeley and Turner, 2005) for the R computing environment (R Core Team, 2017).</w:t>
      </w:r>
    </w:p>
    <w:p w:rsidR="00A149DC" w:rsidRPr="00C8624E" w:rsidRDefault="005A5F60">
      <w:pPr>
        <w:pStyle w:val="SectionHeading"/>
        <w:tabs>
          <w:tab w:val="left" w:pos="284"/>
        </w:tabs>
        <w:ind w:left="284" w:hanging="284"/>
      </w:pPr>
      <w:r w:rsidRPr="00C8624E">
        <w:t>Main</w:t>
      </w:r>
      <w:r w:rsidR="00E14F4F" w:rsidRPr="00C8624E">
        <w:t xml:space="preserve"> results</w:t>
      </w:r>
    </w:p>
    <w:p w:rsidR="00DD6129" w:rsidRPr="00C8624E" w:rsidRDefault="00E14F4F" w:rsidP="00DD6129">
      <w:pPr>
        <w:pStyle w:val="Maintext"/>
        <w:rPr>
          <w:rFonts w:eastAsia="Arial"/>
          <w:b/>
          <w:sz w:val="20"/>
        </w:rPr>
      </w:pPr>
      <w:r w:rsidRPr="00C8624E">
        <w:rPr>
          <w:rFonts w:eastAsia="Arial"/>
          <w:sz w:val="20"/>
        </w:rPr>
        <w:lastRenderedPageBreak/>
        <w:t>Our investigation will cover the most representative groups of foreign immigrants in the city of Messina. We expect a differentiated spatial trend for the different nationalities, with higher values in the more central parts of the city for those groups involved mainly in ret</w:t>
      </w:r>
      <w:r w:rsidR="00267D94" w:rsidRPr="00C8624E">
        <w:rPr>
          <w:rFonts w:eastAsia="Arial"/>
          <w:sz w:val="20"/>
        </w:rPr>
        <w:t xml:space="preserve">ailing and peddling activities. </w:t>
      </w:r>
      <w:r w:rsidRPr="00C8624E">
        <w:rPr>
          <w:rFonts w:eastAsia="Arial"/>
          <w:sz w:val="20"/>
        </w:rPr>
        <w:t xml:space="preserve">We will compute the estimates for the inhomogeneous </w:t>
      </w:r>
      <w:r w:rsidRPr="00C8624E">
        <w:rPr>
          <w:rFonts w:eastAsia="Arial"/>
          <w:i/>
          <w:sz w:val="20"/>
        </w:rPr>
        <w:t>K</w:t>
      </w:r>
      <w:r w:rsidRPr="00C8624E">
        <w:rPr>
          <w:rFonts w:eastAsia="Arial"/>
          <w:sz w:val="20"/>
        </w:rPr>
        <w:t xml:space="preserve">-function at various distances </w:t>
      </w:r>
      <m:oMath>
        <m:r>
          <w:rPr>
            <w:rFonts w:ascii="Cambria Math" w:eastAsia="Arial" w:hAnsi="Cambria Math"/>
            <w:sz w:val="20"/>
          </w:rPr>
          <m:t>d</m:t>
        </m:r>
      </m:oMath>
      <w:r w:rsidRPr="00C8624E">
        <w:rPr>
          <w:rFonts w:eastAsia="Arial"/>
          <w:sz w:val="20"/>
        </w:rPr>
        <w:t xml:space="preserve">.  We will also report confidence envelopes based on Monte Carlo simulations for the null hypothesis of absence of interaction. </w:t>
      </w:r>
      <w:r w:rsidR="00DD6129" w:rsidRPr="00C8624E">
        <w:rPr>
          <w:sz w:val="20"/>
          <w:lang w:val="en-US"/>
        </w:rPr>
        <w:t xml:space="preserve">First results show more dispersed settlements patterns for ethnicities more involved with </w:t>
      </w:r>
      <w:r w:rsidR="00DD6129" w:rsidRPr="00C8624E">
        <w:rPr>
          <w:noProof/>
          <w:sz w:val="20"/>
          <w:lang w:val="en-US"/>
        </w:rPr>
        <w:t xml:space="preserve">household services </w:t>
      </w:r>
      <w:r w:rsidR="00DD6129" w:rsidRPr="00C8624E">
        <w:rPr>
          <w:sz w:val="20"/>
          <w:lang w:val="en-US"/>
        </w:rPr>
        <w:t>than for those devoted to commerce and peddling.</w:t>
      </w:r>
      <w:r w:rsidR="00DD6129" w:rsidRPr="00C8624E">
        <w:rPr>
          <w:i/>
          <w:sz w:val="20"/>
          <w:lang w:val="en-US"/>
        </w:rPr>
        <w:t xml:space="preserve"> </w:t>
      </w:r>
      <w:r w:rsidR="00DD6129" w:rsidRPr="00C8624E">
        <w:rPr>
          <w:sz w:val="20"/>
          <w:lang w:val="en-US"/>
        </w:rPr>
        <w:t>Furthermore</w:t>
      </w:r>
      <w:r w:rsidR="00DD6129" w:rsidRPr="00C8624E">
        <w:rPr>
          <w:i/>
          <w:sz w:val="20"/>
          <w:lang w:val="en-US"/>
        </w:rPr>
        <w:t xml:space="preserve">, </w:t>
      </w:r>
      <w:r w:rsidRPr="00C8624E">
        <w:rPr>
          <w:rFonts w:eastAsia="Arial"/>
          <w:sz w:val="20"/>
        </w:rPr>
        <w:t xml:space="preserve">a </w:t>
      </w:r>
      <w:r w:rsidR="00DD6129" w:rsidRPr="00C8624E">
        <w:rPr>
          <w:rFonts w:eastAsia="Arial"/>
          <w:sz w:val="20"/>
        </w:rPr>
        <w:t xml:space="preserve">higher </w:t>
      </w:r>
      <w:r w:rsidRPr="00C8624E">
        <w:rPr>
          <w:rFonts w:eastAsia="Arial"/>
          <w:sz w:val="20"/>
        </w:rPr>
        <w:t xml:space="preserve">spatial attraction </w:t>
      </w:r>
      <w:r w:rsidR="00DD6129" w:rsidRPr="00C8624E">
        <w:rPr>
          <w:rFonts w:eastAsia="Arial"/>
          <w:sz w:val="20"/>
        </w:rPr>
        <w:t xml:space="preserve">emerges </w:t>
      </w:r>
      <w:r w:rsidRPr="00C8624E">
        <w:rPr>
          <w:rFonts w:eastAsia="Arial"/>
          <w:sz w:val="20"/>
        </w:rPr>
        <w:t>for those groups for whom the effects of chain migratio</w:t>
      </w:r>
      <w:bookmarkStart w:id="0" w:name="_GoBack"/>
      <w:bookmarkEnd w:id="0"/>
      <w:r w:rsidRPr="00C8624E">
        <w:rPr>
          <w:rFonts w:eastAsia="Arial"/>
          <w:sz w:val="20"/>
        </w:rPr>
        <w:t>ns and family reunifications have been stronger.</w:t>
      </w:r>
    </w:p>
    <w:p w:rsidR="00A149DC" w:rsidRPr="00C8624E" w:rsidRDefault="00A149DC">
      <w:pPr>
        <w:pStyle w:val="References"/>
      </w:pPr>
      <w:r w:rsidRPr="00C8624E">
        <w:t>References</w:t>
      </w:r>
    </w:p>
    <w:p w:rsidR="00C334DD" w:rsidRPr="00C8624E" w:rsidRDefault="00C334DD" w:rsidP="00C334DD">
      <w:pPr>
        <w:pStyle w:val="Referenceslist"/>
        <w:tabs>
          <w:tab w:val="left" w:pos="360"/>
        </w:tabs>
        <w:ind w:left="360" w:hanging="360"/>
      </w:pPr>
      <w:r w:rsidRPr="00C8624E">
        <w:t xml:space="preserve">Andersson, R.: </w:t>
      </w:r>
      <w:r w:rsidR="00C8624E">
        <w:rPr>
          <w:noProof/>
        </w:rPr>
        <w:t>R</w:t>
      </w:r>
      <w:r w:rsidRPr="00C8624E">
        <w:rPr>
          <w:noProof/>
        </w:rPr>
        <w:t>eproducing</w:t>
      </w:r>
      <w:r w:rsidRPr="00C8624E">
        <w:t xml:space="preserve"> and reshaping ethnic residential segregation in Stockholm: the role of selective migration moves. Geografiska Annaler: Series B, Human Geography 95(2): 163–187. (2013)</w:t>
      </w:r>
      <w:r w:rsidR="00CA757B" w:rsidRPr="00C8624E">
        <w:t>.</w:t>
      </w:r>
    </w:p>
    <w:p w:rsidR="00C334DD" w:rsidRPr="00C8624E" w:rsidRDefault="00C334DD" w:rsidP="00C334DD">
      <w:pPr>
        <w:pStyle w:val="Referenceslist"/>
        <w:tabs>
          <w:tab w:val="left" w:pos="360"/>
        </w:tabs>
        <w:ind w:left="360" w:hanging="360"/>
      </w:pPr>
      <w:r w:rsidRPr="00C8624E">
        <w:t>Baddeley, A., Turner, R. Practical maximum pseudolikelihood for spatial point patterns. Australian and New Zealand Journal of Statistics 42: 283–322. (2000).</w:t>
      </w:r>
    </w:p>
    <w:p w:rsidR="00C334DD" w:rsidRPr="00C8624E" w:rsidRDefault="00C334DD" w:rsidP="00C334DD">
      <w:pPr>
        <w:pStyle w:val="Referenceslist"/>
        <w:tabs>
          <w:tab w:val="left" w:pos="360"/>
        </w:tabs>
        <w:ind w:left="360" w:hanging="360"/>
      </w:pPr>
      <w:r w:rsidRPr="00C8624E">
        <w:t>Baddeley, A., Turner, R.: spatstat: An R Package for Analyzing Spatial Point Patterns. Journal of Statistical Software 12(6): 1–42. (2005).</w:t>
      </w:r>
    </w:p>
    <w:p w:rsidR="00C334DD" w:rsidRPr="00C8624E" w:rsidRDefault="00C334DD" w:rsidP="00C334DD">
      <w:pPr>
        <w:pStyle w:val="Referenceslist"/>
        <w:tabs>
          <w:tab w:val="left" w:pos="360"/>
        </w:tabs>
        <w:ind w:left="360" w:hanging="360"/>
      </w:pPr>
      <w:r w:rsidRPr="00C8624E">
        <w:t>Clark, W.A., Fossett, M.: Understanding the social context of the Schelling segregation model. Proceedings of the National Academy of Sciences 105(11): 4109–4114. (2008)</w:t>
      </w:r>
      <w:r w:rsidR="00CA757B" w:rsidRPr="00C8624E">
        <w:t>.</w:t>
      </w:r>
    </w:p>
    <w:p w:rsidR="00C334DD" w:rsidRPr="00C8624E" w:rsidRDefault="00C334DD" w:rsidP="00C334DD">
      <w:pPr>
        <w:pStyle w:val="Referenceslist"/>
        <w:tabs>
          <w:tab w:val="left" w:pos="360"/>
        </w:tabs>
        <w:ind w:left="360" w:hanging="360"/>
      </w:pPr>
      <w:r w:rsidRPr="00C8624E">
        <w:t xml:space="preserve">Diggle, P.J., Gómez-Rubio V., Brown P.E., Chetwynd A.G., Gooding, S.: Second-Order Analysis of Inhomogeneous Spatial Point Processes Using </w:t>
      </w:r>
      <w:r w:rsidRPr="00C8624E">
        <w:rPr>
          <w:noProof/>
        </w:rPr>
        <w:t>Case–Control</w:t>
      </w:r>
      <w:r w:rsidRPr="00C8624E">
        <w:t xml:space="preserve"> Data. Biometrics 63(2): 550–557. (2007).</w:t>
      </w:r>
    </w:p>
    <w:p w:rsidR="00C334DD" w:rsidRPr="00C8624E" w:rsidRDefault="00C334DD" w:rsidP="00C334DD">
      <w:pPr>
        <w:pStyle w:val="Referenceslist"/>
        <w:tabs>
          <w:tab w:val="left" w:pos="360"/>
        </w:tabs>
        <w:ind w:left="360" w:hanging="360"/>
      </w:pPr>
      <w:r w:rsidRPr="00C8624E">
        <w:t>Harvey</w:t>
      </w:r>
      <w:r w:rsidR="00007626" w:rsidRPr="00C8624E">
        <w:t>,</w:t>
      </w:r>
      <w:r w:rsidRPr="00C8624E">
        <w:t xml:space="preserve"> D</w:t>
      </w:r>
      <w:r w:rsidR="00007626" w:rsidRPr="00C8624E">
        <w:t>.:</w:t>
      </w:r>
      <w:r w:rsidRPr="00C8624E">
        <w:t xml:space="preserve"> Geographic Processes and the Analysis of Point Patterns: Testing Models of Diffusion by Quadrat Sampling. Transactions of the Institute of British Geographers XL, p.81–95.</w:t>
      </w:r>
      <w:r w:rsidR="00007626" w:rsidRPr="00C8624E">
        <w:t xml:space="preserve"> (1966).</w:t>
      </w:r>
    </w:p>
    <w:p w:rsidR="00C334DD" w:rsidRPr="00C8624E" w:rsidRDefault="00C334DD" w:rsidP="00C334DD">
      <w:pPr>
        <w:pStyle w:val="Referenceslist"/>
        <w:tabs>
          <w:tab w:val="left" w:pos="360"/>
        </w:tabs>
        <w:ind w:left="360" w:hanging="360"/>
      </w:pPr>
      <w:r w:rsidRPr="00C8624E">
        <w:t>Kalandides</w:t>
      </w:r>
      <w:r w:rsidR="00007626" w:rsidRPr="00C8624E">
        <w:t>,</w:t>
      </w:r>
      <w:r w:rsidRPr="00C8624E">
        <w:t xml:space="preserve"> A</w:t>
      </w:r>
      <w:r w:rsidR="00007626" w:rsidRPr="00C8624E">
        <w:t xml:space="preserve">., </w:t>
      </w:r>
      <w:r w:rsidRPr="00C8624E">
        <w:t>Vaiou</w:t>
      </w:r>
      <w:r w:rsidR="006D3267" w:rsidRPr="00C8624E">
        <w:t>.</w:t>
      </w:r>
      <w:r w:rsidRPr="00C8624E">
        <w:t xml:space="preserve"> D</w:t>
      </w:r>
      <w:r w:rsidR="006D3267" w:rsidRPr="00C8624E">
        <w:t>,:</w:t>
      </w:r>
      <w:r w:rsidRPr="00C8624E">
        <w:t xml:space="preserve"> ‘Ethnic’ </w:t>
      </w:r>
      <w:r w:rsidRPr="00C8624E">
        <w:rPr>
          <w:noProof/>
        </w:rPr>
        <w:t>neighborhoods</w:t>
      </w:r>
      <w:r w:rsidRPr="00C8624E">
        <w:t>? Practices of belonging and claims to the city. European Urban and Regional Studies 19(3): 254–266.</w:t>
      </w:r>
      <w:r w:rsidR="006D3267" w:rsidRPr="00C8624E">
        <w:t xml:space="preserve"> (2012).</w:t>
      </w:r>
    </w:p>
    <w:p w:rsidR="00C334DD" w:rsidRPr="00C8624E" w:rsidRDefault="006D3267" w:rsidP="00C334DD">
      <w:pPr>
        <w:pStyle w:val="Referenceslist"/>
        <w:tabs>
          <w:tab w:val="left" w:pos="360"/>
        </w:tabs>
        <w:ind w:left="360" w:hanging="360"/>
      </w:pPr>
      <w:r w:rsidRPr="00C8624E">
        <w:t xml:space="preserve">Mazza, A., </w:t>
      </w:r>
      <w:r w:rsidR="00C334DD" w:rsidRPr="00C8624E">
        <w:t>Punzo, A.</w:t>
      </w:r>
      <w:r w:rsidRPr="00C8624E">
        <w:t>:</w:t>
      </w:r>
      <w:r w:rsidR="00C334DD" w:rsidRPr="00C8624E">
        <w:t xml:space="preserve"> On the upward bias of the dissimilarity index and its corrections. Sociological Methods &amp; Research 44(1): 80–107.</w:t>
      </w:r>
      <w:r w:rsidRPr="00C8624E">
        <w:t xml:space="preserve"> (2015).</w:t>
      </w:r>
    </w:p>
    <w:p w:rsidR="00C334DD" w:rsidRPr="00C8624E" w:rsidRDefault="00C334DD" w:rsidP="00C334DD">
      <w:pPr>
        <w:pStyle w:val="Referenceslist"/>
        <w:tabs>
          <w:tab w:val="left" w:pos="360"/>
        </w:tabs>
        <w:ind w:left="360" w:hanging="360"/>
      </w:pPr>
      <w:r w:rsidRPr="00C8624E">
        <w:t>Mazza A, Punzo</w:t>
      </w:r>
      <w:r w:rsidR="001F0641" w:rsidRPr="00C8624E">
        <w:t>.</w:t>
      </w:r>
      <w:r w:rsidRPr="00C8624E">
        <w:t xml:space="preserve"> A</w:t>
      </w:r>
      <w:r w:rsidR="001F0641" w:rsidRPr="00C8624E">
        <w:rPr>
          <w:noProof/>
        </w:rPr>
        <w:t>,:</w:t>
      </w:r>
      <w:r w:rsidRPr="00C8624E">
        <w:t xml:space="preserve"> Spatial attraction in migrants' settlement patterns in the city of Catania. Demographi</w:t>
      </w:r>
      <w:r w:rsidR="001F0641" w:rsidRPr="00C8624E">
        <w:t>c Research, vol. 35, p. 117-138. (2016).</w:t>
      </w:r>
    </w:p>
    <w:p w:rsidR="006B362E" w:rsidRPr="00C8624E" w:rsidRDefault="006B362E" w:rsidP="006B362E">
      <w:pPr>
        <w:pStyle w:val="Referenceslist"/>
        <w:tabs>
          <w:tab w:val="left" w:pos="360"/>
        </w:tabs>
        <w:ind w:left="360" w:hanging="360"/>
      </w:pPr>
      <w:r w:rsidRPr="00C8624E">
        <w:t>Mucciardi</w:t>
      </w:r>
      <w:r w:rsidR="00E82F20" w:rsidRPr="00C8624E">
        <w:t>, M.</w:t>
      </w:r>
      <w:r w:rsidRPr="00C8624E">
        <w:t xml:space="preserve"> Mazza. A</w:t>
      </w:r>
      <w:r w:rsidR="00E82F20" w:rsidRPr="00C8624E">
        <w:t>.</w:t>
      </w:r>
      <w:r w:rsidRPr="00C8624E">
        <w:t xml:space="preserve"> Altavilla, A.M.: </w:t>
      </w:r>
      <w:r w:rsidR="002A5520" w:rsidRPr="00C8624E">
        <w:t>Analysis of the residential pattern of foreign immigrants i</w:t>
      </w:r>
      <w:r w:rsidRPr="00C8624E">
        <w:t xml:space="preserve">n Catania </w:t>
      </w:r>
      <w:r w:rsidR="002A5520" w:rsidRPr="00C8624E">
        <w:t xml:space="preserve">using GWR </w:t>
      </w:r>
      <w:r w:rsidR="001957EC" w:rsidRPr="00C8624E">
        <w:rPr>
          <w:noProof/>
        </w:rPr>
        <w:t>model</w:t>
      </w:r>
      <w:r w:rsidR="00E059D7" w:rsidRPr="00C8624E">
        <w:rPr>
          <w:noProof/>
        </w:rPr>
        <w:t>l</w:t>
      </w:r>
      <w:r w:rsidR="001957EC" w:rsidRPr="00C8624E">
        <w:rPr>
          <w:noProof/>
        </w:rPr>
        <w:t>ing</w:t>
      </w:r>
      <w:r w:rsidRPr="00C8624E">
        <w:t>, SIEDS, vol LXXI n.2,  (2017).</w:t>
      </w:r>
    </w:p>
    <w:p w:rsidR="00C334DD" w:rsidRPr="00C8624E" w:rsidRDefault="00C334DD" w:rsidP="00C334DD">
      <w:pPr>
        <w:pStyle w:val="Referenceslist"/>
        <w:tabs>
          <w:tab w:val="left" w:pos="360"/>
        </w:tabs>
        <w:ind w:left="360" w:hanging="360"/>
      </w:pPr>
      <w:r w:rsidRPr="00C8624E">
        <w:t>Openshaw, S.</w:t>
      </w:r>
      <w:r w:rsidR="001F0641" w:rsidRPr="00C8624E">
        <w:t>:</w:t>
      </w:r>
      <w:r w:rsidRPr="00C8624E">
        <w:t xml:space="preserve"> The modifiable areal unit problem. Geobooks, University of East Anglia, Norwich, England</w:t>
      </w:r>
      <w:r w:rsidR="001F0641" w:rsidRPr="00C8624E">
        <w:t>. (1984).</w:t>
      </w:r>
    </w:p>
    <w:p w:rsidR="00C334DD" w:rsidRPr="00C8624E" w:rsidRDefault="00C334DD" w:rsidP="00C334DD">
      <w:pPr>
        <w:pStyle w:val="Referenceslist"/>
        <w:tabs>
          <w:tab w:val="left" w:pos="360"/>
        </w:tabs>
        <w:ind w:left="360" w:hanging="360"/>
      </w:pPr>
      <w:r w:rsidRPr="00C8624E">
        <w:t xml:space="preserve">R Core Team R: A Language and Environment for Statistical Computing. R Foundation for Statistical Computing, Vienna, Austria. URL </w:t>
      </w:r>
      <w:hyperlink r:id="rId8" w:history="1">
        <w:r w:rsidR="001F0641" w:rsidRPr="00C8624E">
          <w:rPr>
            <w:rStyle w:val="Collegamentoipertestuale"/>
          </w:rPr>
          <w:t>http://www.R-project.org/</w:t>
        </w:r>
      </w:hyperlink>
      <w:r w:rsidRPr="00C8624E">
        <w:t>.</w:t>
      </w:r>
      <w:r w:rsidR="001F0641" w:rsidRPr="00C8624E">
        <w:t xml:space="preserve"> (2017).</w:t>
      </w:r>
    </w:p>
    <w:p w:rsidR="00C334DD" w:rsidRPr="00C8624E" w:rsidRDefault="001F0641" w:rsidP="00C334DD">
      <w:pPr>
        <w:pStyle w:val="Referenceslist"/>
        <w:tabs>
          <w:tab w:val="left" w:pos="360"/>
        </w:tabs>
        <w:ind w:left="360" w:hanging="360"/>
      </w:pPr>
      <w:r w:rsidRPr="00C8624E">
        <w:t xml:space="preserve">Schelling, </w:t>
      </w:r>
      <w:r w:rsidRPr="00C8624E">
        <w:rPr>
          <w:noProof/>
        </w:rPr>
        <w:t>T.C.:</w:t>
      </w:r>
      <w:r w:rsidRPr="00C8624E">
        <w:t xml:space="preserve"> </w:t>
      </w:r>
      <w:r w:rsidR="00C334DD" w:rsidRPr="00C8624E">
        <w:t>Dynamic models of segregation. Journal of Mathematical Sociology 1(2): 143–186.</w:t>
      </w:r>
      <w:r w:rsidRPr="00C8624E">
        <w:t xml:space="preserve"> (1971).</w:t>
      </w:r>
    </w:p>
    <w:p w:rsidR="005A08BB" w:rsidRDefault="00C334DD" w:rsidP="00C334DD">
      <w:pPr>
        <w:pStyle w:val="Referenceslist"/>
        <w:ind w:left="360" w:hanging="360"/>
      </w:pPr>
      <w:r w:rsidRPr="00C8624E">
        <w:t>Wong, D.</w:t>
      </w:r>
      <w:r w:rsidR="001F0641" w:rsidRPr="00C8624E">
        <w:t>:</w:t>
      </w:r>
      <w:r w:rsidRPr="00C8624E">
        <w:t xml:space="preserve"> The modifiable areal unit problem (MAUP). In: Fotheringham, A. and Rogerson, P. (eds.). The SAGE handbook of spatial analysis. London: SAGE Publications: 105–</w:t>
      </w:r>
      <w:r>
        <w:t>123.</w:t>
      </w:r>
      <w:r w:rsidR="001F0641">
        <w:t xml:space="preserve"> (2009).</w:t>
      </w:r>
    </w:p>
    <w:sectPr w:rsidR="005A08BB" w:rsidSect="000420BB">
      <w:headerReference w:type="even" r:id="rId9"/>
      <w:headerReference w:type="default" r:id="rId10"/>
      <w:footnotePr>
        <w:numRestart w:val="eachPage"/>
      </w:footnotePr>
      <w:pgSz w:w="11905" w:h="16837" w:code="9"/>
      <w:pgMar w:top="1928" w:right="2552" w:bottom="4026" w:left="25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1E" w:rsidRDefault="00C91E1E">
      <w:r>
        <w:separator/>
      </w:r>
    </w:p>
  </w:endnote>
  <w:endnote w:type="continuationSeparator" w:id="0">
    <w:p w:rsidR="00C91E1E" w:rsidRDefault="00C9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RomNo9L-Medi">
    <w:charset w:val="00"/>
    <w:family w:val="auto"/>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1E" w:rsidRDefault="00C91E1E">
      <w:r>
        <w:separator/>
      </w:r>
    </w:p>
  </w:footnote>
  <w:footnote w:type="continuationSeparator" w:id="0">
    <w:p w:rsidR="00C91E1E" w:rsidRDefault="00C9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48" w:rsidRPr="00CE20B7" w:rsidRDefault="00917F48">
    <w:pPr>
      <w:pStyle w:val="Intestazione"/>
      <w:tabs>
        <w:tab w:val="clear" w:pos="4819"/>
        <w:tab w:val="center" w:pos="5103"/>
      </w:tabs>
      <w:spacing w:before="1200"/>
      <w:rPr>
        <w:rStyle w:val="Numeropagina"/>
        <w:sz w:val="16"/>
        <w:lang w:val="it-IT"/>
      </w:rPr>
    </w:pPr>
    <w:r w:rsidRPr="00CE20B7">
      <w:rPr>
        <w:rStyle w:val="Numeropagina"/>
        <w:sz w:val="16"/>
        <w:lang w:val="it-IT"/>
      </w:rPr>
      <w:t xml:space="preserve"> PAGE </w:t>
    </w:r>
    <w:r>
      <w:rPr>
        <w:rStyle w:val="Numeropagina"/>
        <w:noProof/>
        <w:sz w:val="16"/>
        <w:lang w:val="it-IT"/>
      </w:rPr>
      <w:t>4</w:t>
    </w:r>
    <w:r w:rsidRPr="00CE20B7">
      <w:rPr>
        <w:rStyle w:val="Numeropagina"/>
        <w:sz w:val="16"/>
        <w:lang w:val="it-IT"/>
      </w:rPr>
      <w:tab/>
    </w:r>
    <w:r>
      <w:rPr>
        <w:rStyle w:val="Numeropagina"/>
        <w:sz w:val="16"/>
        <w:lang w:val="it-IT"/>
      </w:rPr>
      <w:t>A</w:t>
    </w:r>
    <w:r w:rsidRPr="00CE20B7">
      <w:rPr>
        <w:rStyle w:val="Numeropagina"/>
        <w:sz w:val="16"/>
        <w:lang w:val="it-IT"/>
      </w:rPr>
      <w:t>ngelo Mazza, Massimo Mucciardi and Silvia Carbone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F48" w:rsidRDefault="00917F48">
    <w:pPr>
      <w:pStyle w:val="Intestazione"/>
      <w:tabs>
        <w:tab w:val="clear" w:pos="4819"/>
        <w:tab w:val="center" w:pos="6237"/>
      </w:tabs>
      <w:spacing w:before="1200"/>
    </w:pPr>
    <w:r w:rsidRPr="008B14F2">
      <w:rPr>
        <w:sz w:val="16"/>
      </w:rPr>
      <w:t>SPATIAL CLUSTERING OF MIGRANT HOUSEHOLDS IN THE MESSINA CITY</w:t>
    </w:r>
    <w:r>
      <w:rPr>
        <w:sz w:val="16"/>
      </w:rPr>
      <w:tab/>
    </w:r>
    <w:r>
      <w:rPr>
        <w:rStyle w:val="Numeropagina"/>
        <w:sz w:val="16"/>
      </w:rPr>
      <w:t xml:space="preserve"> PAGE </w:t>
    </w:r>
    <w:r>
      <w:rPr>
        <w:rStyle w:val="Numeropagina"/>
        <w:noProof/>
        <w:sz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1"/>
    <w:lvl w:ilvl="0">
      <w:start w:val="1"/>
      <w:numFmt w:val="decimal"/>
      <w:pStyle w:val="Referenceslist"/>
      <w:lvlText w:val="%1."/>
      <w:lvlJc w:val="left"/>
      <w:pPr>
        <w:tabs>
          <w:tab w:val="num" w:pos="360"/>
        </w:tabs>
        <w:ind w:left="360" w:hanging="360"/>
      </w:pPr>
    </w:lvl>
  </w:abstractNum>
  <w:abstractNum w:abstractNumId="1" w15:restartNumberingAfterBreak="0">
    <w:nsid w:val="00000002"/>
    <w:multiLevelType w:val="singleLevel"/>
    <w:tmpl w:val="00000002"/>
    <w:name w:val="WW8Num12"/>
    <w:lvl w:ilvl="0">
      <w:start w:val="1"/>
      <w:numFmt w:val="decimal"/>
      <w:lvlText w:val="%1."/>
      <w:lvlJc w:val="left"/>
      <w:pPr>
        <w:tabs>
          <w:tab w:val="num" w:pos="1004"/>
        </w:tabs>
        <w:ind w:left="1004" w:hanging="360"/>
      </w:pPr>
    </w:lvl>
  </w:abstractNum>
  <w:abstractNum w:abstractNumId="2" w15:restartNumberingAfterBreak="0">
    <w:nsid w:val="00000003"/>
    <w:multiLevelType w:val="multilevel"/>
    <w:tmpl w:val="00000003"/>
    <w:name w:val="WW8Num13"/>
    <w:lvl w:ilvl="0">
      <w:start w:val="1"/>
      <w:numFmt w:val="decimal"/>
      <w:pStyle w:val="Titolo4"/>
      <w:lvlText w:val="%1"/>
      <w:lvlJc w:val="left"/>
      <w:pPr>
        <w:tabs>
          <w:tab w:val="num" w:pos="284"/>
        </w:tabs>
        <w:ind w:left="284" w:hanging="284"/>
      </w:pPr>
    </w:lvl>
    <w:lvl w:ilvl="1">
      <w:start w:val="1"/>
      <w:numFmt w:val="decimal"/>
      <w:lvlText w:val="%1.%2"/>
      <w:lvlJc w:val="left"/>
      <w:pPr>
        <w:tabs>
          <w:tab w:val="num" w:pos="284"/>
        </w:tabs>
        <w:ind w:left="284" w:hanging="284"/>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Titolo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MLUwNzA1tTC1NDNV0lEKTi0uzszPAykwqgUAykxe8ywAAAA="/>
  </w:docVars>
  <w:rsids>
    <w:rsidRoot w:val="00A856F7"/>
    <w:rsid w:val="00007626"/>
    <w:rsid w:val="000216F1"/>
    <w:rsid w:val="000420BB"/>
    <w:rsid w:val="000A57FA"/>
    <w:rsid w:val="000E1593"/>
    <w:rsid w:val="00103E49"/>
    <w:rsid w:val="00114064"/>
    <w:rsid w:val="00124376"/>
    <w:rsid w:val="00135596"/>
    <w:rsid w:val="00165FBF"/>
    <w:rsid w:val="001709D9"/>
    <w:rsid w:val="001776F1"/>
    <w:rsid w:val="001957EC"/>
    <w:rsid w:val="001A4EF9"/>
    <w:rsid w:val="001F0641"/>
    <w:rsid w:val="0021517D"/>
    <w:rsid w:val="002416E2"/>
    <w:rsid w:val="00253E23"/>
    <w:rsid w:val="00267D94"/>
    <w:rsid w:val="00274762"/>
    <w:rsid w:val="002861E2"/>
    <w:rsid w:val="002A5520"/>
    <w:rsid w:val="002C7740"/>
    <w:rsid w:val="002D281D"/>
    <w:rsid w:val="0037591A"/>
    <w:rsid w:val="003C266F"/>
    <w:rsid w:val="003E734F"/>
    <w:rsid w:val="004B0FC2"/>
    <w:rsid w:val="004B61A3"/>
    <w:rsid w:val="004D5CDB"/>
    <w:rsid w:val="00514653"/>
    <w:rsid w:val="005465E0"/>
    <w:rsid w:val="00566302"/>
    <w:rsid w:val="005A08BB"/>
    <w:rsid w:val="005A5F60"/>
    <w:rsid w:val="005D19F1"/>
    <w:rsid w:val="005F556B"/>
    <w:rsid w:val="00674906"/>
    <w:rsid w:val="00687028"/>
    <w:rsid w:val="0069648D"/>
    <w:rsid w:val="006B26D0"/>
    <w:rsid w:val="006B362E"/>
    <w:rsid w:val="006B60DE"/>
    <w:rsid w:val="006D3267"/>
    <w:rsid w:val="006E48DD"/>
    <w:rsid w:val="00797283"/>
    <w:rsid w:val="007C617A"/>
    <w:rsid w:val="007E1F8C"/>
    <w:rsid w:val="007F6C94"/>
    <w:rsid w:val="00824493"/>
    <w:rsid w:val="0083128C"/>
    <w:rsid w:val="008B14F2"/>
    <w:rsid w:val="00917F48"/>
    <w:rsid w:val="009C19FC"/>
    <w:rsid w:val="009C485C"/>
    <w:rsid w:val="009D0E2A"/>
    <w:rsid w:val="00A059F6"/>
    <w:rsid w:val="00A149B1"/>
    <w:rsid w:val="00A149DC"/>
    <w:rsid w:val="00A856F7"/>
    <w:rsid w:val="00AA35DC"/>
    <w:rsid w:val="00AB0A72"/>
    <w:rsid w:val="00AB54F1"/>
    <w:rsid w:val="00AE07FA"/>
    <w:rsid w:val="00B13F5B"/>
    <w:rsid w:val="00B45649"/>
    <w:rsid w:val="00B57475"/>
    <w:rsid w:val="00B61248"/>
    <w:rsid w:val="00B85B6A"/>
    <w:rsid w:val="00BA6021"/>
    <w:rsid w:val="00C334DD"/>
    <w:rsid w:val="00C71975"/>
    <w:rsid w:val="00C8624E"/>
    <w:rsid w:val="00C91E1E"/>
    <w:rsid w:val="00CA757B"/>
    <w:rsid w:val="00CE20B7"/>
    <w:rsid w:val="00D06305"/>
    <w:rsid w:val="00D46D55"/>
    <w:rsid w:val="00D55A10"/>
    <w:rsid w:val="00D8151E"/>
    <w:rsid w:val="00D841C7"/>
    <w:rsid w:val="00DD6129"/>
    <w:rsid w:val="00DF1D38"/>
    <w:rsid w:val="00E01798"/>
    <w:rsid w:val="00E059D7"/>
    <w:rsid w:val="00E14F4F"/>
    <w:rsid w:val="00E23C9B"/>
    <w:rsid w:val="00E43556"/>
    <w:rsid w:val="00E82F20"/>
    <w:rsid w:val="00EC0A90"/>
    <w:rsid w:val="00EC3EED"/>
    <w:rsid w:val="00EC78EF"/>
    <w:rsid w:val="00F0684F"/>
    <w:rsid w:val="00F11010"/>
    <w:rsid w:val="00F178FE"/>
    <w:rsid w:val="00F22574"/>
    <w:rsid w:val="00F2529C"/>
    <w:rsid w:val="00F42E0B"/>
    <w:rsid w:val="00FA7C0B"/>
    <w:rsid w:val="00FF31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643F"/>
  <w15:docId w15:val="{68A0DAEA-24F3-45BF-B56E-FF9CFA38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val="en-GB"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numPr>
        <w:numId w:val="3"/>
      </w:numPr>
      <w:spacing w:before="240" w:after="60"/>
      <w:ind w:left="0" w:firstLine="0"/>
      <w:outlineLvl w:val="3"/>
    </w:pPr>
    <w:rPr>
      <w:b/>
      <w:bCs/>
      <w:sz w:val="28"/>
      <w:szCs w:val="28"/>
    </w:rPr>
  </w:style>
  <w:style w:type="paragraph" w:styleId="Titolo5">
    <w:name w:val="heading 5"/>
    <w:basedOn w:val="Normale"/>
    <w:next w:val="Normale"/>
    <w:qFormat/>
    <w:pPr>
      <w:tabs>
        <w:tab w:val="num" w:pos="284"/>
      </w:tabs>
      <w:spacing w:before="240" w:after="60"/>
      <w:outlineLvl w:val="4"/>
    </w:pPr>
    <w:rPr>
      <w:b/>
      <w:bCs/>
      <w:i/>
      <w:iCs/>
      <w:sz w:val="26"/>
      <w:szCs w:val="26"/>
    </w:rPr>
  </w:style>
  <w:style w:type="paragraph" w:styleId="Titolo6">
    <w:name w:val="heading 6"/>
    <w:basedOn w:val="Normale"/>
    <w:next w:val="Normale"/>
    <w:qFormat/>
    <w:pPr>
      <w:tabs>
        <w:tab w:val="num" w:pos="284"/>
      </w:tabs>
      <w:spacing w:before="240" w:after="60"/>
      <w:outlineLvl w:val="5"/>
    </w:pPr>
    <w:rPr>
      <w:b/>
      <w:bCs/>
      <w:sz w:val="22"/>
      <w:szCs w:val="22"/>
    </w:rPr>
  </w:style>
  <w:style w:type="paragraph" w:styleId="Titolo7">
    <w:name w:val="heading 7"/>
    <w:basedOn w:val="Normale"/>
    <w:next w:val="Normale"/>
    <w:qFormat/>
    <w:pPr>
      <w:tabs>
        <w:tab w:val="num" w:pos="284"/>
      </w:tabs>
      <w:spacing w:before="240" w:after="60"/>
      <w:outlineLvl w:val="6"/>
    </w:pPr>
    <w:rPr>
      <w:sz w:val="24"/>
      <w:szCs w:val="24"/>
    </w:rPr>
  </w:style>
  <w:style w:type="paragraph" w:styleId="Titolo8">
    <w:name w:val="heading 8"/>
    <w:basedOn w:val="Normale"/>
    <w:next w:val="Normale"/>
    <w:qFormat/>
    <w:pPr>
      <w:tabs>
        <w:tab w:val="num" w:pos="284"/>
      </w:tabs>
      <w:spacing w:before="240" w:after="60"/>
      <w:outlineLvl w:val="7"/>
    </w:pPr>
    <w:rPr>
      <w:i/>
      <w:iCs/>
      <w:sz w:val="24"/>
      <w:szCs w:val="24"/>
    </w:rPr>
  </w:style>
  <w:style w:type="paragraph" w:styleId="Titolo9">
    <w:name w:val="heading 9"/>
    <w:basedOn w:val="Normale"/>
    <w:next w:val="Normale"/>
    <w:qFormat/>
    <w:pPr>
      <w:tabs>
        <w:tab w:val="num" w:pos="284"/>
      </w:tabs>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Carpredefinitoparagrafo1">
    <w:name w:val="Car. predefinito paragrafo1"/>
  </w:style>
  <w:style w:type="character" w:customStyle="1" w:styleId="Caratteredellanota">
    <w:name w:val="Carattere della nota"/>
    <w:rPr>
      <w:vertAlign w:val="superscript"/>
    </w:rPr>
  </w:style>
  <w:style w:type="character" w:customStyle="1" w:styleId="WW-Caratteredellanota">
    <w:name w:val="WW-Carattere della nota"/>
    <w:rPr>
      <w:vertAlign w:val="superscript"/>
    </w:rPr>
  </w:style>
  <w:style w:type="character" w:customStyle="1" w:styleId="Caratterenotadichiusura">
    <w:name w:val="Carattere nota di chiusura"/>
    <w:rPr>
      <w:vertAlign w:val="superscript"/>
    </w:rPr>
  </w:style>
  <w:style w:type="character" w:customStyle="1" w:styleId="PapertitleCarattere">
    <w:name w:val="Paper title Carattere"/>
    <w:rPr>
      <w:rFonts w:cs="NimbusRomNo9L-Medi"/>
      <w:b/>
      <w:sz w:val="30"/>
      <w:szCs w:val="32"/>
      <w:lang w:val="it-IT" w:eastAsia="ar-SA" w:bidi="ar-SA"/>
    </w:rPr>
  </w:style>
  <w:style w:type="character" w:customStyle="1" w:styleId="AuthorCarattereCarattere">
    <w:name w:val="Author Carattere Carattere"/>
    <w:rPr>
      <w:sz w:val="18"/>
      <w:szCs w:val="18"/>
      <w:lang w:val="it-IT" w:eastAsia="ar-SA" w:bidi="ar-SA"/>
    </w:rPr>
  </w:style>
  <w:style w:type="character" w:customStyle="1" w:styleId="AffiliationCarattere">
    <w:name w:val="Affiliation Carattere"/>
    <w:rPr>
      <w:sz w:val="16"/>
      <w:lang w:val="en-US" w:eastAsia="ar-SA" w:bidi="ar-SA"/>
    </w:rPr>
  </w:style>
  <w:style w:type="character" w:customStyle="1" w:styleId="Keywordsheading">
    <w:name w:val="Keywords heading"/>
    <w:rPr>
      <w:rFonts w:ascii="Garamond" w:hAnsi="Garamond"/>
      <w:b/>
      <w:sz w:val="23"/>
      <w:lang w:val="en-US"/>
    </w:rPr>
  </w:style>
  <w:style w:type="character" w:customStyle="1" w:styleId="KeywordsCarattere">
    <w:name w:val="Keywords Carattere"/>
    <w:rPr>
      <w:rFonts w:ascii="Garamond" w:hAnsi="Garamond"/>
      <w:sz w:val="23"/>
      <w:lang w:val="en-US" w:eastAsia="ar-SA" w:bidi="ar-SA"/>
    </w:rPr>
  </w:style>
  <w:style w:type="character" w:customStyle="1" w:styleId="Stile1">
    <w:name w:val="Stile1"/>
    <w:basedOn w:val="Keywordsheading"/>
    <w:rPr>
      <w:rFonts w:ascii="Garamond" w:hAnsi="Garamond"/>
      <w:b/>
      <w:sz w:val="23"/>
      <w:lang w:val="en-US"/>
    </w:rPr>
  </w:style>
  <w:style w:type="character" w:customStyle="1" w:styleId="CaptionCarattere">
    <w:name w:val="Caption Carattere"/>
    <w:rPr>
      <w:sz w:val="16"/>
      <w:szCs w:val="24"/>
      <w:lang w:val="en-GB" w:eastAsia="ar-SA" w:bidi="ar-SA"/>
    </w:rPr>
  </w:style>
  <w:style w:type="character" w:customStyle="1" w:styleId="MaintextCarattere">
    <w:name w:val="Main text Carattere"/>
    <w:rPr>
      <w:sz w:val="18"/>
      <w:lang w:val="en-GB" w:eastAsia="ar-SA" w:bidi="ar-SA"/>
    </w:rPr>
  </w:style>
  <w:style w:type="character" w:customStyle="1" w:styleId="MaintextfirstlineCarattere">
    <w:name w:val="Main text: first line Carattere"/>
    <w:basedOn w:val="MaintextCarattere"/>
    <w:rPr>
      <w:sz w:val="18"/>
      <w:lang w:val="en-GB" w:eastAsia="ar-SA" w:bidi="ar-SA"/>
    </w:rPr>
  </w:style>
  <w:style w:type="character" w:styleId="Collegamentoipertestuale">
    <w:name w:val="Hyperlink"/>
    <w:semiHidden/>
    <w:rPr>
      <w:color w:val="0000FF"/>
      <w:u w:val="single"/>
    </w:rPr>
  </w:style>
  <w:style w:type="character" w:customStyle="1" w:styleId="SectionHeadingCarattere">
    <w:name w:val="Section Heading Carattere"/>
    <w:rPr>
      <w:b/>
      <w:sz w:val="23"/>
      <w:lang w:val="en-US" w:eastAsia="ar-SA" w:bidi="ar-SA"/>
    </w:rPr>
  </w:style>
  <w:style w:type="character" w:customStyle="1" w:styleId="SubsectionheadingCarattereCarattere">
    <w:name w:val="Subsection heading Carattere Carattere"/>
    <w:rPr>
      <w:b/>
      <w:i/>
      <w:sz w:val="23"/>
      <w:szCs w:val="24"/>
      <w:lang w:val="en-US" w:eastAsia="ar-SA" w:bidi="ar-SA"/>
    </w:rPr>
  </w:style>
  <w:style w:type="character" w:customStyle="1" w:styleId="SubsubsectionheadingCarattereCarattere">
    <w:name w:val="Subsubsection heading Carattere Carattere"/>
    <w:rPr>
      <w:b/>
      <w:i/>
      <w:sz w:val="19"/>
      <w:szCs w:val="24"/>
      <w:lang w:val="it-IT" w:eastAsia="ar-SA" w:bidi="ar-SA"/>
    </w:rPr>
  </w:style>
  <w:style w:type="character" w:styleId="AcronimoHTML">
    <w:name w:val="HTML Acronym"/>
    <w:basedOn w:val="Carpredefinitoparagrafo1"/>
  </w:style>
  <w:style w:type="character" w:styleId="Enfasigrassetto">
    <w:name w:val="Strong"/>
    <w:qFormat/>
    <w:rPr>
      <w:b/>
      <w:bCs/>
    </w:rPr>
  </w:style>
  <w:style w:type="character" w:styleId="Numeropagina">
    <w:name w:val="page number"/>
    <w:basedOn w:val="Carpredefinitoparagrafo1"/>
    <w:semiHidden/>
  </w:style>
  <w:style w:type="character" w:customStyle="1" w:styleId="CaptionCarattere1">
    <w:name w:val="Caption Carattere1"/>
    <w:rPr>
      <w:sz w:val="16"/>
      <w:szCs w:val="24"/>
      <w:lang w:val="en-GB" w:eastAsia="ar-SA" w:bidi="ar-SA"/>
    </w:rPr>
  </w:style>
  <w:style w:type="character" w:customStyle="1" w:styleId="Footnoteanchor">
    <w:name w:val="Footnote anchor"/>
    <w:rPr>
      <w:vertAlign w:val="superscript"/>
    </w:rPr>
  </w:style>
  <w:style w:type="character" w:styleId="Rimandonotaapidipagina">
    <w:name w:val="footnote reference"/>
    <w:semiHidden/>
    <w:rPr>
      <w:vertAlign w:val="superscript"/>
    </w:rPr>
  </w:style>
  <w:style w:type="character" w:styleId="Rimandonotadichiusura">
    <w:name w:val="endnote reference"/>
    <w:semiHidden/>
    <w:rPr>
      <w:vertAlign w:val="superscript"/>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Corpodeltesto">
    <w:name w:val="Corpo del testo"/>
    <w:basedOn w:val="Normale"/>
    <w:semiHidden/>
    <w:pPr>
      <w:spacing w:after="120"/>
    </w:pPr>
  </w:style>
  <w:style w:type="paragraph" w:styleId="Elenco">
    <w:name w:val="List"/>
    <w:basedOn w:val="Corpodeltesto"/>
    <w:semiHidden/>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Testonotaapidipagina">
    <w:name w:val="footnote text"/>
    <w:basedOn w:val="Normale"/>
    <w:semiHidden/>
  </w:style>
  <w:style w:type="paragraph" w:styleId="Testonotadichiusura">
    <w:name w:val="endnote text"/>
    <w:basedOn w:val="Normale"/>
    <w:semiHidden/>
  </w:style>
  <w:style w:type="paragraph" w:customStyle="1" w:styleId="Papertitle">
    <w:name w:val="Paper title"/>
    <w:basedOn w:val="Normale"/>
    <w:next w:val="Author"/>
    <w:pPr>
      <w:spacing w:after="454"/>
    </w:pPr>
    <w:rPr>
      <w:rFonts w:cs="NimbusRomNo9L-Medi"/>
      <w:b/>
      <w:sz w:val="30"/>
      <w:szCs w:val="32"/>
      <w:lang w:val="it-IT"/>
    </w:rPr>
  </w:style>
  <w:style w:type="paragraph" w:customStyle="1" w:styleId="SectionHeading">
    <w:name w:val="Section Heading"/>
    <w:basedOn w:val="Normale"/>
    <w:next w:val="Maintextfirstline"/>
    <w:pPr>
      <w:tabs>
        <w:tab w:val="num" w:pos="284"/>
      </w:tabs>
      <w:spacing w:before="624" w:after="340"/>
    </w:pPr>
    <w:rPr>
      <w:b/>
      <w:sz w:val="24"/>
      <w:lang w:val="en-US"/>
    </w:rPr>
  </w:style>
  <w:style w:type="paragraph" w:customStyle="1" w:styleId="Subsectionheading">
    <w:name w:val="Subsection heading"/>
    <w:basedOn w:val="SectionHeading"/>
    <w:next w:val="Maintextfirstline"/>
    <w:pPr>
      <w:spacing w:after="240"/>
    </w:pPr>
    <w:rPr>
      <w:i/>
      <w:szCs w:val="24"/>
    </w:rPr>
  </w:style>
  <w:style w:type="paragraph" w:customStyle="1" w:styleId="Subsubsectionheading">
    <w:name w:val="Subsubsection heading"/>
    <w:basedOn w:val="Subsectionheading"/>
    <w:pPr>
      <w:spacing w:after="284"/>
    </w:pPr>
    <w:rPr>
      <w:i w:val="0"/>
      <w:sz w:val="19"/>
      <w:szCs w:val="20"/>
      <w:lang w:val="it-IT"/>
    </w:rPr>
  </w:style>
  <w:style w:type="paragraph" w:customStyle="1" w:styleId="Author">
    <w:name w:val="Author"/>
    <w:basedOn w:val="Normale"/>
    <w:next w:val="Affiliation"/>
    <w:pPr>
      <w:spacing w:after="2438"/>
    </w:pPr>
    <w:rPr>
      <w:sz w:val="18"/>
      <w:szCs w:val="18"/>
      <w:lang w:val="it-IT"/>
    </w:rPr>
  </w:style>
  <w:style w:type="paragraph" w:customStyle="1" w:styleId="Affiliation">
    <w:name w:val="Affiliation"/>
    <w:basedOn w:val="Normale"/>
    <w:rPr>
      <w:sz w:val="16"/>
      <w:lang w:val="en-US"/>
    </w:rPr>
  </w:style>
  <w:style w:type="paragraph" w:customStyle="1" w:styleId="Keywords">
    <w:name w:val="Keywords"/>
    <w:basedOn w:val="Normale"/>
    <w:next w:val="SectionHeading"/>
    <w:pPr>
      <w:spacing w:before="240"/>
    </w:pPr>
    <w:rPr>
      <w:rFonts w:ascii="Garamond" w:hAnsi="Garamond"/>
      <w:sz w:val="23"/>
      <w:lang w:val="en-US"/>
    </w:rPr>
  </w:style>
  <w:style w:type="paragraph" w:customStyle="1" w:styleId="References">
    <w:name w:val="References"/>
    <w:basedOn w:val="Normale"/>
    <w:pPr>
      <w:spacing w:before="480" w:after="240"/>
      <w:jc w:val="both"/>
    </w:pPr>
    <w:rPr>
      <w:b/>
      <w:sz w:val="24"/>
      <w:lang w:val="en-US"/>
    </w:rPr>
  </w:style>
  <w:style w:type="paragraph" w:customStyle="1" w:styleId="Maintext">
    <w:name w:val="Main text"/>
    <w:basedOn w:val="Normale"/>
    <w:pPr>
      <w:jc w:val="both"/>
    </w:pPr>
    <w:rPr>
      <w:sz w:val="18"/>
    </w:rPr>
  </w:style>
  <w:style w:type="paragraph" w:customStyle="1" w:styleId="Maintextfirstline">
    <w:name w:val="Main text: first line"/>
    <w:next w:val="Maintext"/>
    <w:pPr>
      <w:suppressAutoHyphens/>
      <w:jc w:val="both"/>
    </w:pPr>
    <w:rPr>
      <w:rFonts w:eastAsia="Arial"/>
      <w:sz w:val="18"/>
      <w:lang w:val="en-GB" w:eastAsia="ar-SA"/>
    </w:rPr>
  </w:style>
  <w:style w:type="paragraph" w:customStyle="1" w:styleId="Didascalia2">
    <w:name w:val="Didascalia2"/>
    <w:basedOn w:val="Normale"/>
    <w:next w:val="Maintextfirstline"/>
    <w:pPr>
      <w:spacing w:after="60"/>
    </w:pPr>
    <w:rPr>
      <w:sz w:val="16"/>
      <w:szCs w:val="24"/>
    </w:rPr>
  </w:style>
  <w:style w:type="paragraph" w:customStyle="1" w:styleId="Footnote">
    <w:name w:val="Footnote"/>
    <w:basedOn w:val="Testonotaapidipagina"/>
    <w:pPr>
      <w:spacing w:line="214" w:lineRule="exact"/>
    </w:pPr>
    <w:rPr>
      <w:rFonts w:ascii="Garamond" w:hAnsi="Garamond"/>
      <w:lang w:val="en-US"/>
    </w:rPr>
  </w:style>
  <w:style w:type="paragraph" w:customStyle="1" w:styleId="Equation">
    <w:name w:val="Equation"/>
    <w:basedOn w:val="Normale"/>
    <w:next w:val="Maintextfirstline"/>
    <w:pPr>
      <w:tabs>
        <w:tab w:val="center" w:pos="4253"/>
        <w:tab w:val="right" w:pos="8505"/>
      </w:tabs>
      <w:spacing w:before="240" w:after="240" w:line="254" w:lineRule="exact"/>
    </w:pPr>
    <w:rPr>
      <w:rFonts w:ascii="Garamond" w:hAnsi="Garamond"/>
      <w:sz w:val="23"/>
    </w:rPr>
  </w:style>
  <w:style w:type="paragraph" w:customStyle="1" w:styleId="Referenceslist">
    <w:name w:val="References list"/>
    <w:basedOn w:val="Maintextfirstline"/>
    <w:pPr>
      <w:numPr>
        <w:numId w:val="1"/>
      </w:numPr>
      <w:ind w:left="0" w:firstLine="0"/>
    </w:pPr>
    <w:rPr>
      <w:sz w:val="16"/>
      <w:lang w:val="en-US"/>
    </w:rPr>
  </w:style>
  <w:style w:type="paragraph" w:customStyle="1" w:styleId="Riassunto">
    <w:name w:val="Riassunto"/>
    <w:basedOn w:val="Maintext"/>
    <w:next w:val="Keywords"/>
    <w:pPr>
      <w:spacing w:before="480"/>
    </w:pPr>
    <w:rPr>
      <w:lang w:val="it-IT"/>
    </w:rPr>
  </w:style>
  <w:style w:type="paragraph" w:customStyle="1" w:styleId="ParagraphHeading">
    <w:name w:val="Paragraph Heading"/>
    <w:basedOn w:val="Maintext"/>
  </w:style>
  <w:style w:type="paragraph" w:customStyle="1" w:styleId="Subparagraphheading">
    <w:name w:val="Subparagraph heading"/>
    <w:basedOn w:val="Maintext"/>
    <w:rPr>
      <w:i/>
    </w:rPr>
  </w:style>
  <w:style w:type="paragraph" w:customStyle="1" w:styleId="Stile2">
    <w:name w:val="Stile2"/>
    <w:basedOn w:val="Maintextfirstline"/>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E14F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14F4F"/>
    <w:rPr>
      <w:rFonts w:ascii="Tahoma" w:hAnsi="Tahoma" w:cs="Tahoma"/>
      <w:sz w:val="16"/>
      <w:szCs w:val="16"/>
      <w:lang w:val="en-GB" w:eastAsia="ar-SA"/>
    </w:rPr>
  </w:style>
  <w:style w:type="character" w:styleId="Testosegnaposto">
    <w:name w:val="Placeholder Text"/>
    <w:basedOn w:val="Carpredefinitoparagrafo"/>
    <w:uiPriority w:val="99"/>
    <w:semiHidden/>
    <w:rsid w:val="00267D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BF28-300F-4770-AB5C-823664B0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1591</Words>
  <Characters>9069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SIS 2008 contributed paper format</vt:lpstr>
    </vt:vector>
  </TitlesOfParts>
  <Company>Hewlett-Packard</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 2008 contributed paper format</dc:title>
  <dc:creator>Referee1</dc:creator>
  <cp:lastModifiedBy>Angelo Mazza</cp:lastModifiedBy>
  <cp:revision>4</cp:revision>
  <cp:lastPrinted>2008-02-01T15:00:00Z</cp:lastPrinted>
  <dcterms:created xsi:type="dcterms:W3CDTF">2018-02-26T18:47:00Z</dcterms:created>
  <dcterms:modified xsi:type="dcterms:W3CDTF">2018-02-27T11:38:00Z</dcterms:modified>
</cp:coreProperties>
</file>