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7DF41" w14:textId="77777777" w:rsidR="004C63A7" w:rsidRPr="00927E13" w:rsidRDefault="004C63A7" w:rsidP="004C63A7">
      <w:pPr>
        <w:rPr>
          <w:rFonts w:cs="NimbusRomNo9L-Medi"/>
          <w:b/>
          <w:sz w:val="32"/>
          <w:szCs w:val="32"/>
          <w:lang w:val="it-IT"/>
        </w:rPr>
      </w:pPr>
      <w:r w:rsidRPr="00B4359E">
        <w:rPr>
          <w:rFonts w:cs="NimbusRomNo9L-Medi"/>
          <w:b/>
          <w:sz w:val="32"/>
          <w:szCs w:val="32"/>
        </w:rPr>
        <w:t>How effective are the regional policies in Europe</w:t>
      </w:r>
      <w:r>
        <w:rPr>
          <w:rFonts w:cs="NimbusRomNo9L-Medi"/>
          <w:b/>
          <w:sz w:val="32"/>
          <w:szCs w:val="32"/>
        </w:rPr>
        <w:t>?</w:t>
      </w:r>
      <w:r w:rsidRPr="00B4359E">
        <w:rPr>
          <w:rFonts w:cs="NimbusRomNo9L-Medi"/>
          <w:b/>
          <w:sz w:val="32"/>
          <w:szCs w:val="32"/>
        </w:rPr>
        <w:t xml:space="preserve"> </w:t>
      </w:r>
      <w:r w:rsidRPr="00927E13">
        <w:rPr>
          <w:rFonts w:cs="NimbusRomNo9L-Medi"/>
          <w:b/>
          <w:sz w:val="32"/>
          <w:szCs w:val="32"/>
          <w:lang w:val="it-IT"/>
        </w:rPr>
        <w:t xml:space="preserve">The </w:t>
      </w:r>
      <w:proofErr w:type="spellStart"/>
      <w:r w:rsidRPr="00927E13">
        <w:rPr>
          <w:rFonts w:cs="NimbusRomNo9L-Medi"/>
          <w:b/>
          <w:sz w:val="32"/>
          <w:szCs w:val="32"/>
          <w:lang w:val="it-IT"/>
        </w:rPr>
        <w:t>role</w:t>
      </w:r>
      <w:proofErr w:type="spellEnd"/>
      <w:r w:rsidRPr="00927E13">
        <w:rPr>
          <w:rFonts w:cs="NimbusRomNo9L-Medi"/>
          <w:b/>
          <w:sz w:val="32"/>
          <w:szCs w:val="32"/>
          <w:lang w:val="it-IT"/>
        </w:rPr>
        <w:t xml:space="preserve"> of </w:t>
      </w:r>
      <w:proofErr w:type="spellStart"/>
      <w:r w:rsidRPr="00927E13">
        <w:rPr>
          <w:rFonts w:cs="NimbusRomNo9L-Medi"/>
          <w:b/>
          <w:sz w:val="32"/>
          <w:szCs w:val="32"/>
          <w:lang w:val="it-IT"/>
        </w:rPr>
        <w:t>European</w:t>
      </w:r>
      <w:proofErr w:type="spellEnd"/>
      <w:r w:rsidRPr="00927E13">
        <w:rPr>
          <w:rFonts w:cs="NimbusRomNo9L-Medi"/>
          <w:b/>
          <w:sz w:val="32"/>
          <w:szCs w:val="32"/>
          <w:lang w:val="it-IT"/>
        </w:rPr>
        <w:t xml:space="preserve"> Funds</w:t>
      </w:r>
    </w:p>
    <w:p w14:paraId="087CA638" w14:textId="46ADC3B8" w:rsidR="004C63A7" w:rsidRPr="00A55B2A" w:rsidRDefault="004C63A7" w:rsidP="004C63A7">
      <w:pPr>
        <w:pStyle w:val="Papertitle"/>
        <w:spacing w:after="240"/>
        <w:rPr>
          <w:i/>
          <w:sz w:val="28"/>
        </w:rPr>
      </w:pPr>
      <w:r>
        <w:rPr>
          <w:i/>
          <w:sz w:val="28"/>
        </w:rPr>
        <w:t>Efficacia delle politiche regionali in Europa. Il ruolo dei Fondi Europei</w:t>
      </w:r>
    </w:p>
    <w:p w14:paraId="31017182" w14:textId="77777777" w:rsidR="00A149DC" w:rsidRPr="00032734" w:rsidRDefault="00394EBF" w:rsidP="005D19F1">
      <w:pPr>
        <w:pStyle w:val="Author"/>
        <w:spacing w:after="2160"/>
        <w:rPr>
          <w:b/>
          <w:bCs/>
          <w:sz w:val="20"/>
          <w:szCs w:val="20"/>
        </w:rPr>
      </w:pPr>
      <w:r>
        <w:rPr>
          <w:sz w:val="20"/>
          <w:szCs w:val="20"/>
        </w:rPr>
        <w:t>Gennaro Punzo</w:t>
      </w:r>
      <w:r w:rsidR="004C63A7">
        <w:rPr>
          <w:sz w:val="20"/>
          <w:szCs w:val="20"/>
        </w:rPr>
        <w:t xml:space="preserve">, </w:t>
      </w:r>
      <w:r w:rsidR="009F3138" w:rsidRPr="00032734">
        <w:rPr>
          <w:sz w:val="20"/>
          <w:szCs w:val="20"/>
        </w:rPr>
        <w:t>Mariateresa Ciommi</w:t>
      </w:r>
      <w:r w:rsidR="00A149DC" w:rsidRPr="00032734">
        <w:rPr>
          <w:rStyle w:val="WW-Caratteredellanota"/>
          <w:vanish/>
          <w:sz w:val="20"/>
          <w:szCs w:val="20"/>
        </w:rPr>
        <w:footnoteReference w:id="1"/>
      </w:r>
      <w:r w:rsidR="004C63A7">
        <w:rPr>
          <w:sz w:val="20"/>
          <w:szCs w:val="20"/>
        </w:rPr>
        <w:t>, and Gaetano Musella</w:t>
      </w:r>
    </w:p>
    <w:p w14:paraId="1F6C66CA" w14:textId="5A5BDA85" w:rsidR="004C63A7" w:rsidRPr="00B4359E" w:rsidRDefault="00A149DC" w:rsidP="004C63A7">
      <w:pPr>
        <w:jc w:val="both"/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</w:pPr>
      <w:r w:rsidRPr="00032734">
        <w:rPr>
          <w:b/>
          <w:bCs/>
        </w:rPr>
        <w:t>Abstract</w:t>
      </w:r>
      <w:r w:rsidR="009C19FC" w:rsidRPr="00032734">
        <w:rPr>
          <w:b/>
          <w:bCs/>
        </w:rPr>
        <w:t xml:space="preserve"> </w:t>
      </w:r>
      <w:r w:rsidR="004C63A7" w:rsidRPr="0097294A">
        <w:t xml:space="preserve">The European </w:t>
      </w:r>
      <w:r w:rsidR="0074568D" w:rsidRPr="0097294A">
        <w:t xml:space="preserve">Structural and Investment Funds </w:t>
      </w:r>
      <w:proofErr w:type="gramStart"/>
      <w:r w:rsidR="0074568D" w:rsidRPr="0097294A">
        <w:t>are</w:t>
      </w:r>
      <w:proofErr w:type="gramEnd"/>
      <w:r w:rsidR="00747012">
        <w:t xml:space="preserve"> the </w:t>
      </w:r>
      <w:r w:rsidR="00227227">
        <w:t>leading</w:t>
      </w:r>
      <w:r w:rsidR="004C63A7" w:rsidRPr="0097294A">
        <w:t xml:space="preserve"> policy</w:t>
      </w:r>
      <w:r w:rsidR="00747012">
        <w:t xml:space="preserve"> instrument </w:t>
      </w:r>
      <w:r w:rsidR="004C63A7" w:rsidRPr="0097294A">
        <w:t>through which the E</w:t>
      </w:r>
      <w:r w:rsidR="005E6529">
        <w:t>U</w:t>
      </w:r>
      <w:r w:rsidR="00747012">
        <w:t xml:space="preserve"> </w:t>
      </w:r>
      <w:r w:rsidR="00A129E7">
        <w:t>encourage</w:t>
      </w:r>
      <w:r w:rsidR="0099139B">
        <w:t>s</w:t>
      </w:r>
      <w:r w:rsidR="00A129E7">
        <w:t xml:space="preserve"> growth-enhancing conditions for less well-off regions </w:t>
      </w:r>
      <w:r w:rsidR="005910A5">
        <w:t>in order to make</w:t>
      </w:r>
      <w:r w:rsidR="0099139B">
        <w:t xml:space="preserve"> </w:t>
      </w:r>
      <w:r w:rsidR="005457EB">
        <w:t>territorial</w:t>
      </w:r>
      <w:r w:rsidR="00747012">
        <w:t xml:space="preserve"> </w:t>
      </w:r>
      <w:r w:rsidR="0097368F">
        <w:t>cohesion</w:t>
      </w:r>
      <w:r w:rsidR="0099139B" w:rsidRPr="0099139B">
        <w:t xml:space="preserve"> </w:t>
      </w:r>
      <w:r w:rsidR="0099139B">
        <w:t>within countries</w:t>
      </w:r>
      <w:r w:rsidR="004C63A7" w:rsidRPr="0097294A">
        <w:t>.</w:t>
      </w:r>
      <w:r w:rsidR="00B42689">
        <w:t xml:space="preserve"> </w:t>
      </w:r>
      <w:r w:rsidR="00417C0F">
        <w:t>In this work, w</w:t>
      </w:r>
      <w:r w:rsidR="004C63A7" w:rsidRPr="0097294A">
        <w:t xml:space="preserve">e </w:t>
      </w:r>
      <w:r w:rsidR="00044DEE" w:rsidRPr="0097294A">
        <w:t>perform</w:t>
      </w:r>
      <w:r w:rsidR="004C63A7" w:rsidRPr="0097294A">
        <w:t xml:space="preserve"> the </w:t>
      </w:r>
      <w:r w:rsidR="005B3105">
        <w:t>Difference in Differences technique</w:t>
      </w:r>
      <w:r w:rsidR="004C63A7" w:rsidRPr="0097294A">
        <w:t xml:space="preserve"> to </w:t>
      </w:r>
      <w:r w:rsidR="00AC62B5">
        <w:t xml:space="preserve">assess </w:t>
      </w:r>
      <w:r w:rsidR="004C63A7" w:rsidRPr="0097294A">
        <w:t xml:space="preserve">the effectiveness of </w:t>
      </w:r>
      <w:r w:rsidR="0074568D" w:rsidRPr="0097294A">
        <w:t xml:space="preserve">the </w:t>
      </w:r>
      <w:r w:rsidR="00D509D3" w:rsidRPr="0097294A">
        <w:t xml:space="preserve">2007-2013 </w:t>
      </w:r>
      <w:r w:rsidR="0074568D" w:rsidRPr="0097294A">
        <w:t xml:space="preserve">EU funding </w:t>
      </w:r>
      <w:r w:rsidR="00044DEE" w:rsidRPr="0097294A">
        <w:t>in achieving the convergence in employment</w:t>
      </w:r>
      <w:r w:rsidR="00D509D3" w:rsidRPr="0097294A">
        <w:t xml:space="preserve"> </w:t>
      </w:r>
      <w:r w:rsidR="00417C0F">
        <w:t>levels</w:t>
      </w:r>
      <w:r w:rsidR="006B63C8">
        <w:t xml:space="preserve"> </w:t>
      </w:r>
      <w:r w:rsidR="0074568D" w:rsidRPr="0097294A">
        <w:t>across</w:t>
      </w:r>
      <w:r w:rsidR="004C63A7" w:rsidRPr="0097294A">
        <w:t xml:space="preserve"> NUTS2 regions</w:t>
      </w:r>
      <w:r w:rsidR="00B22D63">
        <w:t xml:space="preserve">. Controlling for the socio-economic background at the regional level, a special focus </w:t>
      </w:r>
      <w:r w:rsidR="00076DD4">
        <w:t xml:space="preserve">is </w:t>
      </w:r>
      <w:r w:rsidR="00B22D63">
        <w:t xml:space="preserve">devoted to </w:t>
      </w:r>
      <w:r w:rsidR="00D509D3" w:rsidRPr="0097294A">
        <w:t xml:space="preserve">Italy. </w:t>
      </w:r>
      <w:r w:rsidR="000C66B3">
        <w:t>Some</w:t>
      </w:r>
      <w:r w:rsidR="00AC62B5">
        <w:t xml:space="preserve"> </w:t>
      </w:r>
      <w:r w:rsidR="000C66B3">
        <w:t xml:space="preserve">empirical </w:t>
      </w:r>
      <w:r w:rsidR="0097294A" w:rsidRPr="0097294A">
        <w:t>results suggest that the EU fund</w:t>
      </w:r>
      <w:r w:rsidR="00AC62B5">
        <w:t xml:space="preserve">ing was </w:t>
      </w:r>
      <w:r w:rsidR="003868CB">
        <w:t xml:space="preserve">not </w:t>
      </w:r>
      <w:r w:rsidR="00227227">
        <w:t>effective enough to help t</w:t>
      </w:r>
      <w:r w:rsidR="0097294A" w:rsidRPr="0097294A">
        <w:t xml:space="preserve">he convergence </w:t>
      </w:r>
      <w:r w:rsidR="00AC62B5">
        <w:t>for</w:t>
      </w:r>
      <w:r w:rsidR="0097294A" w:rsidRPr="0097294A">
        <w:t xml:space="preserve"> most countries.</w:t>
      </w:r>
      <w:r w:rsidR="00227227" w:rsidRPr="00227227">
        <w:rPr>
          <w:rFonts w:ascii="Arial" w:hAnsi="Arial" w:cs="Arial"/>
          <w:color w:val="303030"/>
          <w:sz w:val="18"/>
          <w:szCs w:val="18"/>
          <w:shd w:val="clear" w:color="auto" w:fill="FFFEEF"/>
        </w:rPr>
        <w:t xml:space="preserve"> </w:t>
      </w:r>
    </w:p>
    <w:p w14:paraId="1CB00FB4" w14:textId="77777777" w:rsidR="00A149DC" w:rsidRPr="00032734" w:rsidRDefault="00A149DC">
      <w:pPr>
        <w:pStyle w:val="Maintext"/>
        <w:rPr>
          <w:sz w:val="20"/>
          <w:highlight w:val="yellow"/>
        </w:rPr>
      </w:pPr>
    </w:p>
    <w:p w14:paraId="29572856" w14:textId="3BDB40C8" w:rsidR="00B45C4A" w:rsidRDefault="009C19FC">
      <w:pPr>
        <w:pStyle w:val="Maintext"/>
        <w:rPr>
          <w:bCs/>
          <w:i/>
          <w:sz w:val="20"/>
          <w:lang w:val="it-IT"/>
        </w:rPr>
      </w:pPr>
      <w:proofErr w:type="gramStart"/>
      <w:r w:rsidRPr="00747012">
        <w:rPr>
          <w:b/>
          <w:bCs/>
          <w:sz w:val="20"/>
          <w:lang w:val="it-IT"/>
        </w:rPr>
        <w:t>Abstract</w:t>
      </w:r>
      <w:proofErr w:type="gramEnd"/>
      <w:r w:rsidRPr="00747012">
        <w:rPr>
          <w:b/>
          <w:bCs/>
          <w:sz w:val="20"/>
          <w:lang w:val="it-IT"/>
        </w:rPr>
        <w:t xml:space="preserve"> </w:t>
      </w:r>
      <w:r w:rsidR="00747012" w:rsidRPr="00747012">
        <w:rPr>
          <w:bCs/>
          <w:i/>
          <w:sz w:val="20"/>
          <w:lang w:val="it-IT"/>
        </w:rPr>
        <w:t>I Fondi Strutturali e di Investimento Europe</w:t>
      </w:r>
      <w:r w:rsidR="00AC62B5">
        <w:rPr>
          <w:bCs/>
          <w:i/>
          <w:sz w:val="20"/>
          <w:lang w:val="it-IT"/>
        </w:rPr>
        <w:t>i</w:t>
      </w:r>
      <w:r w:rsidR="00747012" w:rsidRPr="00747012">
        <w:rPr>
          <w:bCs/>
          <w:i/>
          <w:sz w:val="20"/>
          <w:lang w:val="it-IT"/>
        </w:rPr>
        <w:t xml:space="preserve"> rappresentano il p</w:t>
      </w:r>
      <w:r w:rsidR="00227227">
        <w:rPr>
          <w:bCs/>
          <w:i/>
          <w:sz w:val="20"/>
          <w:lang w:val="it-IT"/>
        </w:rPr>
        <w:t xml:space="preserve">rincipale strumento </w:t>
      </w:r>
      <w:r w:rsidR="00F5026A">
        <w:rPr>
          <w:bCs/>
          <w:i/>
          <w:sz w:val="20"/>
          <w:lang w:val="it-IT"/>
        </w:rPr>
        <w:t xml:space="preserve">attraverso cui l’UE </w:t>
      </w:r>
      <w:r w:rsidR="006F2CA1">
        <w:rPr>
          <w:bCs/>
          <w:i/>
          <w:sz w:val="20"/>
          <w:lang w:val="it-IT"/>
        </w:rPr>
        <w:t>promuove la crescita delle regioni meno sviluppate e indirizza il processo di coesione territoriale nei singoli paesi</w:t>
      </w:r>
      <w:r w:rsidR="00FD2118">
        <w:rPr>
          <w:bCs/>
          <w:i/>
          <w:sz w:val="20"/>
          <w:lang w:val="it-IT"/>
        </w:rPr>
        <w:t xml:space="preserve">. </w:t>
      </w:r>
      <w:r w:rsidR="003868CB">
        <w:rPr>
          <w:bCs/>
          <w:i/>
          <w:sz w:val="20"/>
          <w:lang w:val="it-IT"/>
        </w:rPr>
        <w:t>Con l’ausilio</w:t>
      </w:r>
      <w:r w:rsidR="005B3105">
        <w:rPr>
          <w:bCs/>
          <w:i/>
          <w:sz w:val="20"/>
          <w:lang w:val="it-IT"/>
        </w:rPr>
        <w:t xml:space="preserve"> del metodo delle differenze nelle </w:t>
      </w:r>
      <w:proofErr w:type="gramStart"/>
      <w:r w:rsidR="005B3105">
        <w:rPr>
          <w:bCs/>
          <w:i/>
          <w:sz w:val="20"/>
          <w:lang w:val="it-IT"/>
        </w:rPr>
        <w:t>differenze</w:t>
      </w:r>
      <w:proofErr w:type="gramEnd"/>
      <w:r w:rsidR="006B63C8">
        <w:rPr>
          <w:bCs/>
          <w:i/>
          <w:sz w:val="20"/>
          <w:lang w:val="it-IT"/>
        </w:rPr>
        <w:t xml:space="preserve">, </w:t>
      </w:r>
      <w:r w:rsidR="00AC62B5">
        <w:rPr>
          <w:bCs/>
          <w:i/>
          <w:sz w:val="20"/>
          <w:lang w:val="it-IT"/>
        </w:rPr>
        <w:t>il</w:t>
      </w:r>
      <w:r w:rsidR="0097368F">
        <w:rPr>
          <w:bCs/>
          <w:i/>
          <w:sz w:val="20"/>
          <w:lang w:val="it-IT"/>
        </w:rPr>
        <w:t xml:space="preserve"> lavoro </w:t>
      </w:r>
      <w:r w:rsidR="006A2082">
        <w:rPr>
          <w:bCs/>
          <w:i/>
          <w:sz w:val="20"/>
          <w:lang w:val="it-IT"/>
        </w:rPr>
        <w:t xml:space="preserve">valuta </w:t>
      </w:r>
      <w:r w:rsidR="0097368F">
        <w:rPr>
          <w:bCs/>
          <w:i/>
          <w:sz w:val="20"/>
          <w:lang w:val="it-IT"/>
        </w:rPr>
        <w:t xml:space="preserve">il </w:t>
      </w:r>
      <w:r w:rsidR="003868CB">
        <w:rPr>
          <w:bCs/>
          <w:i/>
          <w:sz w:val="20"/>
          <w:lang w:val="it-IT"/>
        </w:rPr>
        <w:t>contributo</w:t>
      </w:r>
      <w:r w:rsidR="006B63C8">
        <w:rPr>
          <w:bCs/>
          <w:i/>
          <w:sz w:val="20"/>
          <w:lang w:val="it-IT"/>
        </w:rPr>
        <w:t xml:space="preserve"> d</w:t>
      </w:r>
      <w:r w:rsidR="00AC62B5">
        <w:rPr>
          <w:bCs/>
          <w:i/>
          <w:sz w:val="20"/>
          <w:lang w:val="it-IT"/>
        </w:rPr>
        <w:t>ei</w:t>
      </w:r>
      <w:r w:rsidR="0097368F">
        <w:rPr>
          <w:bCs/>
          <w:i/>
          <w:sz w:val="20"/>
          <w:lang w:val="it-IT"/>
        </w:rPr>
        <w:t xml:space="preserve"> </w:t>
      </w:r>
      <w:r w:rsidR="003868CB">
        <w:rPr>
          <w:bCs/>
          <w:i/>
          <w:sz w:val="20"/>
          <w:lang w:val="it-IT"/>
        </w:rPr>
        <w:t xml:space="preserve">fondi </w:t>
      </w:r>
      <w:r w:rsidR="00AC62B5">
        <w:rPr>
          <w:bCs/>
          <w:i/>
          <w:sz w:val="20"/>
          <w:lang w:val="it-IT"/>
        </w:rPr>
        <w:t>europei</w:t>
      </w:r>
      <w:r w:rsidR="006A2082">
        <w:rPr>
          <w:bCs/>
          <w:i/>
          <w:sz w:val="20"/>
          <w:lang w:val="it-IT"/>
        </w:rPr>
        <w:t>,</w:t>
      </w:r>
      <w:r w:rsidR="00AC62B5">
        <w:rPr>
          <w:bCs/>
          <w:i/>
          <w:sz w:val="20"/>
          <w:lang w:val="it-IT"/>
        </w:rPr>
        <w:t xml:space="preserve"> </w:t>
      </w:r>
      <w:r w:rsidR="003868CB">
        <w:rPr>
          <w:bCs/>
          <w:i/>
          <w:sz w:val="20"/>
          <w:lang w:val="it-IT"/>
        </w:rPr>
        <w:t>relativi al</w:t>
      </w:r>
      <w:r w:rsidR="00AC62B5">
        <w:rPr>
          <w:bCs/>
          <w:i/>
          <w:sz w:val="20"/>
          <w:lang w:val="it-IT"/>
        </w:rPr>
        <w:t xml:space="preserve"> periodo di programmazione </w:t>
      </w:r>
      <w:r w:rsidR="00747012">
        <w:rPr>
          <w:bCs/>
          <w:i/>
          <w:sz w:val="20"/>
          <w:lang w:val="it-IT"/>
        </w:rPr>
        <w:t>2007-2013</w:t>
      </w:r>
      <w:r w:rsidR="006A2082">
        <w:rPr>
          <w:bCs/>
          <w:i/>
          <w:sz w:val="20"/>
          <w:lang w:val="it-IT"/>
        </w:rPr>
        <w:t>,</w:t>
      </w:r>
      <w:r w:rsidR="00AC62B5">
        <w:rPr>
          <w:bCs/>
          <w:i/>
          <w:sz w:val="20"/>
          <w:lang w:val="it-IT"/>
        </w:rPr>
        <w:t xml:space="preserve"> </w:t>
      </w:r>
      <w:r w:rsidR="0097368F">
        <w:rPr>
          <w:bCs/>
          <w:i/>
          <w:sz w:val="20"/>
          <w:lang w:val="it-IT"/>
        </w:rPr>
        <w:t xml:space="preserve">alla </w:t>
      </w:r>
      <w:r w:rsidR="00FD2118">
        <w:rPr>
          <w:bCs/>
          <w:i/>
          <w:sz w:val="20"/>
          <w:lang w:val="it-IT"/>
        </w:rPr>
        <w:t xml:space="preserve">convergenza </w:t>
      </w:r>
      <w:r w:rsidR="005910A5">
        <w:rPr>
          <w:bCs/>
          <w:i/>
          <w:sz w:val="20"/>
          <w:lang w:val="it-IT"/>
        </w:rPr>
        <w:t>d</w:t>
      </w:r>
      <w:r w:rsidR="0097368F">
        <w:rPr>
          <w:bCs/>
          <w:i/>
          <w:sz w:val="20"/>
          <w:lang w:val="it-IT"/>
        </w:rPr>
        <w:t xml:space="preserve">ei </w:t>
      </w:r>
      <w:r w:rsidR="006B63C8">
        <w:rPr>
          <w:bCs/>
          <w:i/>
          <w:sz w:val="20"/>
          <w:lang w:val="it-IT"/>
        </w:rPr>
        <w:t xml:space="preserve">livelli </w:t>
      </w:r>
      <w:r w:rsidR="00AC62B5">
        <w:rPr>
          <w:bCs/>
          <w:i/>
          <w:sz w:val="20"/>
          <w:lang w:val="it-IT"/>
        </w:rPr>
        <w:t>di occupazione</w:t>
      </w:r>
      <w:r w:rsidR="006B63C8">
        <w:rPr>
          <w:bCs/>
          <w:i/>
          <w:sz w:val="20"/>
          <w:lang w:val="it-IT"/>
        </w:rPr>
        <w:t xml:space="preserve"> </w:t>
      </w:r>
      <w:r w:rsidR="00453330">
        <w:rPr>
          <w:bCs/>
          <w:i/>
          <w:sz w:val="20"/>
          <w:lang w:val="it-IT"/>
        </w:rPr>
        <w:t>tra le regioni NUTS2</w:t>
      </w:r>
      <w:r w:rsidR="001F11DA">
        <w:rPr>
          <w:bCs/>
          <w:i/>
          <w:sz w:val="20"/>
          <w:lang w:val="it-IT"/>
        </w:rPr>
        <w:t xml:space="preserve">. </w:t>
      </w:r>
      <w:r w:rsidR="003B36E1">
        <w:rPr>
          <w:bCs/>
          <w:i/>
          <w:sz w:val="20"/>
          <w:lang w:val="it-IT"/>
        </w:rPr>
        <w:t xml:space="preserve">Particolare attenzione </w:t>
      </w:r>
      <w:r w:rsidR="00076DD4">
        <w:rPr>
          <w:bCs/>
          <w:i/>
          <w:sz w:val="20"/>
          <w:lang w:val="it-IT"/>
        </w:rPr>
        <w:t>è</w:t>
      </w:r>
      <w:r w:rsidR="003B36E1">
        <w:rPr>
          <w:bCs/>
          <w:i/>
          <w:sz w:val="20"/>
          <w:lang w:val="it-IT"/>
        </w:rPr>
        <w:t xml:space="preserve"> dedicata al caso Italia</w:t>
      </w:r>
      <w:r w:rsidR="005910A5">
        <w:rPr>
          <w:bCs/>
          <w:i/>
          <w:sz w:val="20"/>
          <w:lang w:val="it-IT"/>
        </w:rPr>
        <w:t xml:space="preserve"> tenendo conto del </w:t>
      </w:r>
      <w:r w:rsidR="001F11DA">
        <w:rPr>
          <w:bCs/>
          <w:i/>
          <w:sz w:val="20"/>
          <w:lang w:val="it-IT"/>
        </w:rPr>
        <w:t xml:space="preserve">background </w:t>
      </w:r>
      <w:proofErr w:type="gramStart"/>
      <w:r w:rsidR="001F11DA">
        <w:rPr>
          <w:bCs/>
          <w:i/>
          <w:sz w:val="20"/>
          <w:lang w:val="it-IT"/>
        </w:rPr>
        <w:t>soci</w:t>
      </w:r>
      <w:r w:rsidR="005910A5">
        <w:rPr>
          <w:bCs/>
          <w:i/>
          <w:sz w:val="20"/>
          <w:lang w:val="it-IT"/>
        </w:rPr>
        <w:t>o-</w:t>
      </w:r>
      <w:r w:rsidR="00161379">
        <w:rPr>
          <w:bCs/>
          <w:i/>
          <w:sz w:val="20"/>
          <w:lang w:val="it-IT"/>
        </w:rPr>
        <w:t>ec</w:t>
      </w:r>
      <w:r w:rsidR="001F11DA">
        <w:rPr>
          <w:bCs/>
          <w:i/>
          <w:sz w:val="20"/>
          <w:lang w:val="it-IT"/>
        </w:rPr>
        <w:t>onomico</w:t>
      </w:r>
      <w:proofErr w:type="gramEnd"/>
      <w:r w:rsidR="001F11DA">
        <w:rPr>
          <w:bCs/>
          <w:i/>
          <w:sz w:val="20"/>
          <w:lang w:val="it-IT"/>
        </w:rPr>
        <w:t xml:space="preserve"> </w:t>
      </w:r>
      <w:r w:rsidR="00F85336">
        <w:rPr>
          <w:bCs/>
          <w:i/>
          <w:sz w:val="20"/>
          <w:lang w:val="it-IT"/>
        </w:rPr>
        <w:t>delle regioni</w:t>
      </w:r>
      <w:r w:rsidR="008B5418">
        <w:rPr>
          <w:bCs/>
          <w:i/>
          <w:sz w:val="20"/>
          <w:lang w:val="it-IT"/>
        </w:rPr>
        <w:t>. Si rileva</w:t>
      </w:r>
      <w:r w:rsidR="005910A5">
        <w:rPr>
          <w:bCs/>
          <w:i/>
          <w:sz w:val="20"/>
          <w:lang w:val="it-IT"/>
        </w:rPr>
        <w:t xml:space="preserve"> </w:t>
      </w:r>
      <w:r w:rsidR="0097368F">
        <w:rPr>
          <w:bCs/>
          <w:i/>
          <w:sz w:val="20"/>
          <w:lang w:val="it-IT"/>
        </w:rPr>
        <w:t xml:space="preserve">un </w:t>
      </w:r>
      <w:r w:rsidR="008B5418">
        <w:rPr>
          <w:bCs/>
          <w:i/>
          <w:sz w:val="20"/>
          <w:lang w:val="it-IT"/>
        </w:rPr>
        <w:t>ruolo</w:t>
      </w:r>
      <w:r w:rsidR="0097368F">
        <w:rPr>
          <w:bCs/>
          <w:i/>
          <w:sz w:val="20"/>
          <w:lang w:val="it-IT"/>
        </w:rPr>
        <w:t xml:space="preserve"> non sempre </w:t>
      </w:r>
      <w:r w:rsidR="00813540">
        <w:rPr>
          <w:bCs/>
          <w:i/>
          <w:sz w:val="20"/>
          <w:lang w:val="it-IT"/>
        </w:rPr>
        <w:t>decisivo</w:t>
      </w:r>
      <w:r w:rsidR="0097368F">
        <w:rPr>
          <w:bCs/>
          <w:i/>
          <w:sz w:val="20"/>
          <w:lang w:val="it-IT"/>
        </w:rPr>
        <w:t xml:space="preserve"> d</w:t>
      </w:r>
      <w:r w:rsidR="006A2082">
        <w:rPr>
          <w:bCs/>
          <w:i/>
          <w:sz w:val="20"/>
          <w:lang w:val="it-IT"/>
        </w:rPr>
        <w:t xml:space="preserve">ei </w:t>
      </w:r>
      <w:r w:rsidR="003868CB">
        <w:rPr>
          <w:bCs/>
          <w:i/>
          <w:sz w:val="20"/>
          <w:lang w:val="it-IT"/>
        </w:rPr>
        <w:t xml:space="preserve">fondi </w:t>
      </w:r>
      <w:r w:rsidR="00813540">
        <w:rPr>
          <w:bCs/>
          <w:i/>
          <w:sz w:val="20"/>
          <w:lang w:val="it-IT"/>
        </w:rPr>
        <w:t xml:space="preserve">europei </w:t>
      </w:r>
      <w:r w:rsidR="008B5418">
        <w:rPr>
          <w:bCs/>
          <w:i/>
          <w:sz w:val="20"/>
          <w:lang w:val="it-IT"/>
        </w:rPr>
        <w:t>ne</w:t>
      </w:r>
      <w:r w:rsidR="00813540">
        <w:rPr>
          <w:bCs/>
          <w:i/>
          <w:sz w:val="20"/>
          <w:lang w:val="it-IT"/>
        </w:rPr>
        <w:t xml:space="preserve">lla realizzazione del </w:t>
      </w:r>
      <w:r w:rsidR="0097368F">
        <w:rPr>
          <w:bCs/>
          <w:i/>
          <w:sz w:val="20"/>
          <w:lang w:val="it-IT"/>
        </w:rPr>
        <w:t xml:space="preserve">processo </w:t>
      </w:r>
      <w:proofErr w:type="gramStart"/>
      <w:r w:rsidR="0097368F">
        <w:rPr>
          <w:bCs/>
          <w:i/>
          <w:sz w:val="20"/>
          <w:lang w:val="it-IT"/>
        </w:rPr>
        <w:t>di</w:t>
      </w:r>
      <w:proofErr w:type="gramEnd"/>
      <w:r w:rsidR="0097368F">
        <w:rPr>
          <w:bCs/>
          <w:i/>
          <w:sz w:val="20"/>
          <w:lang w:val="it-IT"/>
        </w:rPr>
        <w:t xml:space="preserve"> convergenza</w:t>
      </w:r>
      <w:r w:rsidR="00FD2118">
        <w:rPr>
          <w:bCs/>
          <w:i/>
          <w:sz w:val="20"/>
          <w:lang w:val="it-IT"/>
        </w:rPr>
        <w:t xml:space="preserve"> territoriale</w:t>
      </w:r>
      <w:r w:rsidR="00813540">
        <w:rPr>
          <w:bCs/>
          <w:i/>
          <w:sz w:val="20"/>
          <w:lang w:val="it-IT"/>
        </w:rPr>
        <w:t xml:space="preserve"> </w:t>
      </w:r>
      <w:r w:rsidR="008B5418">
        <w:rPr>
          <w:bCs/>
          <w:i/>
          <w:sz w:val="20"/>
          <w:lang w:val="it-IT"/>
        </w:rPr>
        <w:t xml:space="preserve">interno ai </w:t>
      </w:r>
      <w:r w:rsidR="00813540">
        <w:rPr>
          <w:bCs/>
          <w:i/>
          <w:sz w:val="20"/>
          <w:lang w:val="it-IT"/>
        </w:rPr>
        <w:t>diversi paesi dell’Unione</w:t>
      </w:r>
      <w:r w:rsidR="00FD2118">
        <w:rPr>
          <w:bCs/>
          <w:i/>
          <w:sz w:val="20"/>
          <w:lang w:val="it-IT"/>
        </w:rPr>
        <w:t>.</w:t>
      </w:r>
      <w:r w:rsidR="003868CB">
        <w:rPr>
          <w:bCs/>
          <w:i/>
          <w:sz w:val="20"/>
          <w:lang w:val="it-IT"/>
        </w:rPr>
        <w:t xml:space="preserve"> </w:t>
      </w:r>
    </w:p>
    <w:p w14:paraId="0FB32AB6" w14:textId="77777777" w:rsidR="00B45C4A" w:rsidRPr="00747012" w:rsidRDefault="00B45C4A">
      <w:pPr>
        <w:pStyle w:val="Maintext"/>
        <w:rPr>
          <w:bCs/>
          <w:i/>
          <w:sz w:val="20"/>
          <w:lang w:val="it-IT"/>
        </w:rPr>
      </w:pPr>
    </w:p>
    <w:p w14:paraId="677A35D2" w14:textId="77777777" w:rsidR="00114064" w:rsidRPr="00032734" w:rsidRDefault="00114064" w:rsidP="00114064">
      <w:pPr>
        <w:pStyle w:val="Maintext"/>
        <w:rPr>
          <w:sz w:val="20"/>
        </w:rPr>
      </w:pPr>
      <w:r w:rsidRPr="00032734">
        <w:rPr>
          <w:b/>
          <w:sz w:val="20"/>
        </w:rPr>
        <w:t xml:space="preserve">Key words: </w:t>
      </w:r>
      <w:r w:rsidR="00D14B1F">
        <w:rPr>
          <w:sz w:val="20"/>
        </w:rPr>
        <w:t>Employment, E</w:t>
      </w:r>
      <w:r w:rsidR="00D14B1F" w:rsidRPr="00D14B1F">
        <w:rPr>
          <w:sz w:val="20"/>
        </w:rPr>
        <w:t>U funding,</w:t>
      </w:r>
      <w:r w:rsidR="00D14B1F">
        <w:rPr>
          <w:b/>
          <w:sz w:val="20"/>
        </w:rPr>
        <w:t xml:space="preserve"> </w:t>
      </w:r>
      <w:r w:rsidR="00D14B1F">
        <w:rPr>
          <w:sz w:val="20"/>
        </w:rPr>
        <w:t>Diff-in-Diff, Regional convergence</w:t>
      </w:r>
    </w:p>
    <w:p w14:paraId="566FB1D9" w14:textId="77777777" w:rsidR="00A149DC" w:rsidRPr="00032734" w:rsidRDefault="004F66AA" w:rsidP="005B0D26">
      <w:pPr>
        <w:pStyle w:val="SectionHeading"/>
        <w:numPr>
          <w:ilvl w:val="0"/>
          <w:numId w:val="8"/>
        </w:numPr>
        <w:tabs>
          <w:tab w:val="left" w:pos="284"/>
        </w:tabs>
        <w:ind w:hanging="644"/>
        <w:rPr>
          <w:lang w:val="en-GB"/>
        </w:rPr>
      </w:pPr>
      <w:r>
        <w:rPr>
          <w:lang w:val="en-GB"/>
        </w:rPr>
        <w:lastRenderedPageBreak/>
        <w:t xml:space="preserve">Introduction </w:t>
      </w:r>
    </w:p>
    <w:p w14:paraId="1606B5A4" w14:textId="77777777" w:rsidR="005D6994" w:rsidRDefault="005D6994" w:rsidP="005B0D26">
      <w:pPr>
        <w:suppressAutoHyphens w:val="0"/>
        <w:autoSpaceDE w:val="0"/>
        <w:autoSpaceDN w:val="0"/>
        <w:adjustRightInd w:val="0"/>
        <w:jc w:val="both"/>
      </w:pPr>
    </w:p>
    <w:p w14:paraId="1A7305F5" w14:textId="0B0D6D18" w:rsidR="00D876CE" w:rsidRDefault="00D523FB" w:rsidP="00C0298A">
      <w:pPr>
        <w:suppressAutoHyphens w:val="0"/>
        <w:autoSpaceDE w:val="0"/>
        <w:autoSpaceDN w:val="0"/>
        <w:adjustRightInd w:val="0"/>
        <w:jc w:val="both"/>
      </w:pPr>
      <w:r>
        <w:t>N</w:t>
      </w:r>
      <w:r w:rsidR="00C65FE2">
        <w:t xml:space="preserve">arrowing </w:t>
      </w:r>
      <w:r w:rsidR="00C4002D">
        <w:t xml:space="preserve">socio-economic </w:t>
      </w:r>
      <w:r w:rsidR="005D6994">
        <w:t xml:space="preserve">disparities between richer and poorer regions </w:t>
      </w:r>
      <w:r w:rsidR="00C65FE2">
        <w:t xml:space="preserve">is one of the </w:t>
      </w:r>
      <w:r w:rsidR="00535750">
        <w:t xml:space="preserve">key principles </w:t>
      </w:r>
      <w:r w:rsidR="007E4BC8">
        <w:t xml:space="preserve">on which the European Union </w:t>
      </w:r>
      <w:r w:rsidR="00D512D6">
        <w:t xml:space="preserve">(EU) </w:t>
      </w:r>
      <w:r w:rsidR="007E4BC8">
        <w:t>has been based ever since its inc</w:t>
      </w:r>
      <w:r w:rsidR="00C65FE2">
        <w:t xml:space="preserve">eption </w:t>
      </w:r>
      <w:r w:rsidR="00EE4F62">
        <w:t>(Art</w:t>
      </w:r>
      <w:r w:rsidR="00E66C09">
        <w:t>.</w:t>
      </w:r>
      <w:r w:rsidR="00EE4F62">
        <w:t xml:space="preserve"> 158</w:t>
      </w:r>
      <w:r w:rsidR="004F66AA">
        <w:t xml:space="preserve"> </w:t>
      </w:r>
      <w:r w:rsidR="00F67A5C">
        <w:t>of the founding Treaty</w:t>
      </w:r>
      <w:r w:rsidR="00CC2AFC">
        <w:t>,</w:t>
      </w:r>
      <w:r w:rsidR="004F66AA">
        <w:t xml:space="preserve"> </w:t>
      </w:r>
      <w:r w:rsidR="00F67A5C">
        <w:t xml:space="preserve">art. </w:t>
      </w:r>
      <w:r w:rsidR="004F66AA">
        <w:t>130a of the</w:t>
      </w:r>
      <w:r w:rsidR="004501E0">
        <w:t xml:space="preserve"> </w:t>
      </w:r>
      <w:r w:rsidR="00E66C09">
        <w:t xml:space="preserve">Maastricht </w:t>
      </w:r>
      <w:r w:rsidR="00EE4F62">
        <w:t>Treat</w:t>
      </w:r>
      <w:r w:rsidR="00F67A5C">
        <w:t>y</w:t>
      </w:r>
      <w:r w:rsidR="00E66C09">
        <w:t>)</w:t>
      </w:r>
      <w:r w:rsidR="00B5419D">
        <w:t xml:space="preserve">. </w:t>
      </w:r>
      <w:r w:rsidR="004501E0">
        <w:t>From this perspective, t</w:t>
      </w:r>
      <w:r w:rsidR="002C41DE">
        <w:t xml:space="preserve">he EU policies promote </w:t>
      </w:r>
      <w:r w:rsidR="001C09F4">
        <w:t>growth-enhancing conditions for</w:t>
      </w:r>
      <w:r w:rsidR="009D3701">
        <w:t xml:space="preserve"> </w:t>
      </w:r>
      <w:r w:rsidR="00C0298A">
        <w:t xml:space="preserve">the least-developed </w:t>
      </w:r>
      <w:r w:rsidR="009D3701">
        <w:t xml:space="preserve">regions </w:t>
      </w:r>
      <w:r w:rsidR="00D523B1">
        <w:t xml:space="preserve">and </w:t>
      </w:r>
      <w:r w:rsidR="00A24186">
        <w:t xml:space="preserve">the </w:t>
      </w:r>
      <w:r w:rsidR="00AB59F7">
        <w:t>European Structural and Investment Funds (ESI</w:t>
      </w:r>
      <w:r w:rsidR="000D7DFE">
        <w:t xml:space="preserve"> Funds</w:t>
      </w:r>
      <w:r w:rsidR="00AB59F7">
        <w:t xml:space="preserve">) are the most intensively instruments </w:t>
      </w:r>
      <w:r w:rsidR="000A14C2">
        <w:t xml:space="preserve">used </w:t>
      </w:r>
      <w:r w:rsidR="00AB59F7">
        <w:t>by the E</w:t>
      </w:r>
      <w:r w:rsidR="00F67A5C">
        <w:t xml:space="preserve">U </w:t>
      </w:r>
      <w:r w:rsidR="00AB59F7">
        <w:t xml:space="preserve">institutions for </w:t>
      </w:r>
      <w:r w:rsidR="000A14C2">
        <w:t>encouraging</w:t>
      </w:r>
      <w:r w:rsidR="00A24186">
        <w:t xml:space="preserve"> </w:t>
      </w:r>
      <w:r w:rsidR="000A14C2">
        <w:t xml:space="preserve">the </w:t>
      </w:r>
      <w:r w:rsidR="00AC1D79">
        <w:t xml:space="preserve">territorial </w:t>
      </w:r>
      <w:r w:rsidR="00337275">
        <w:t>convergence</w:t>
      </w:r>
      <w:r w:rsidR="007371D0">
        <w:t xml:space="preserve">. </w:t>
      </w:r>
      <w:r w:rsidR="00B763AB" w:rsidRPr="00B42689">
        <w:rPr>
          <w:lang w:val="en-US"/>
        </w:rPr>
        <w:t xml:space="preserve">During the </w:t>
      </w:r>
      <w:r w:rsidR="00624FE7">
        <w:rPr>
          <w:lang w:val="en-US"/>
        </w:rPr>
        <w:t xml:space="preserve">last </w:t>
      </w:r>
      <w:r w:rsidR="00B763AB" w:rsidRPr="00B42689">
        <w:rPr>
          <w:lang w:val="en-US"/>
        </w:rPr>
        <w:t xml:space="preserve">programming cycles (2000-2006, 2007-2013, 2014-2020), most of the </w:t>
      </w:r>
      <w:r w:rsidR="00631D5C">
        <w:rPr>
          <w:lang w:val="en-US"/>
        </w:rPr>
        <w:t>ESI</w:t>
      </w:r>
      <w:r w:rsidR="00220EAA">
        <w:rPr>
          <w:lang w:val="en-US"/>
        </w:rPr>
        <w:t xml:space="preserve"> Funds</w:t>
      </w:r>
      <w:r w:rsidR="00631D5C">
        <w:rPr>
          <w:lang w:val="en-US"/>
        </w:rPr>
        <w:t xml:space="preserve"> </w:t>
      </w:r>
      <w:r w:rsidR="00B763AB" w:rsidRPr="00B42689">
        <w:t xml:space="preserve">is channelled through </w:t>
      </w:r>
      <w:r w:rsidR="00B763AB" w:rsidRPr="00B42689">
        <w:rPr>
          <w:lang w:val="en-US"/>
        </w:rPr>
        <w:t xml:space="preserve">the European Fund for Regional Development (EFRD), the European Social Fund (ESF) and the Cohesion </w:t>
      </w:r>
      <w:r w:rsidR="00B763AB" w:rsidRPr="00B42689">
        <w:t>Fund (CF)</w:t>
      </w:r>
      <w:r w:rsidR="00B763AB">
        <w:t xml:space="preserve"> with the aim of </w:t>
      </w:r>
      <w:r w:rsidR="00C0298A">
        <w:t xml:space="preserve">leading </w:t>
      </w:r>
      <w:r w:rsidR="00EE3687">
        <w:t>the</w:t>
      </w:r>
      <w:r w:rsidR="00C0298A">
        <w:t xml:space="preserve"> less well-off </w:t>
      </w:r>
      <w:r w:rsidR="003506AA">
        <w:t xml:space="preserve">regions </w:t>
      </w:r>
      <w:r w:rsidR="00EE3687">
        <w:t xml:space="preserve">to a real convergence within </w:t>
      </w:r>
      <w:r w:rsidR="00EE3687" w:rsidRPr="0056789D">
        <w:t>countries</w:t>
      </w:r>
      <w:r w:rsidR="00EE3687">
        <w:t xml:space="preserve"> </w:t>
      </w:r>
      <w:r w:rsidR="00E432C3">
        <w:t>[10]</w:t>
      </w:r>
      <w:r w:rsidR="00CC2AFC">
        <w:t xml:space="preserve"> and making the EU’s system of market integration viable </w:t>
      </w:r>
      <w:r w:rsidR="00E432C3">
        <w:t>[5].</w:t>
      </w:r>
    </w:p>
    <w:p w14:paraId="49B85661" w14:textId="0961C9B8" w:rsidR="00132F74" w:rsidRDefault="00656E47" w:rsidP="00132F74">
      <w:pPr>
        <w:suppressAutoHyphens w:val="0"/>
        <w:autoSpaceDE w:val="0"/>
        <w:autoSpaceDN w:val="0"/>
        <w:adjustRightInd w:val="0"/>
        <w:ind w:firstLine="284"/>
        <w:jc w:val="both"/>
      </w:pPr>
      <w:r>
        <w:rPr>
          <w:lang w:val="en-US"/>
        </w:rPr>
        <w:t xml:space="preserve">As regards employment, </w:t>
      </w:r>
      <w:r w:rsidR="003506AA">
        <w:rPr>
          <w:lang w:val="en-US"/>
        </w:rPr>
        <w:t xml:space="preserve">territorial </w:t>
      </w:r>
      <w:r w:rsidR="00B76995" w:rsidRPr="00B42689">
        <w:rPr>
          <w:lang w:val="en-US"/>
        </w:rPr>
        <w:t xml:space="preserve">convergence </w:t>
      </w:r>
      <w:r w:rsidR="00B76995">
        <w:rPr>
          <w:lang w:val="en-US"/>
        </w:rPr>
        <w:t>consists</w:t>
      </w:r>
      <w:r w:rsidR="00B76995" w:rsidRPr="00B42689">
        <w:rPr>
          <w:lang w:val="en-US"/>
        </w:rPr>
        <w:t xml:space="preserve"> in lowering disparities in </w:t>
      </w:r>
      <w:r w:rsidR="00567581">
        <w:rPr>
          <w:lang w:val="en-US"/>
        </w:rPr>
        <w:t>employment</w:t>
      </w:r>
      <w:r w:rsidR="00B76995" w:rsidRPr="00B42689">
        <w:rPr>
          <w:lang w:val="en-US"/>
        </w:rPr>
        <w:t xml:space="preserve"> </w:t>
      </w:r>
      <w:r w:rsidR="00567581">
        <w:rPr>
          <w:lang w:val="en-US"/>
        </w:rPr>
        <w:t xml:space="preserve">rates </w:t>
      </w:r>
      <w:r w:rsidR="00B76995" w:rsidRPr="00B42689">
        <w:rPr>
          <w:lang w:val="en-US"/>
        </w:rPr>
        <w:t xml:space="preserve">between regions through a spiral of </w:t>
      </w:r>
      <w:r w:rsidR="00A85437">
        <w:rPr>
          <w:lang w:val="en-US"/>
        </w:rPr>
        <w:t xml:space="preserve">economic </w:t>
      </w:r>
      <w:r w:rsidR="00B76995" w:rsidRPr="00B42689">
        <w:rPr>
          <w:lang w:val="en-US"/>
        </w:rPr>
        <w:t>growth</w:t>
      </w:r>
      <w:r w:rsidR="007A29A1">
        <w:rPr>
          <w:lang w:val="en-US"/>
        </w:rPr>
        <w:t>.</w:t>
      </w:r>
      <w:r w:rsidR="00B76995" w:rsidRPr="00B42689">
        <w:rPr>
          <w:lang w:val="en-US"/>
        </w:rPr>
        <w:t xml:space="preserve"> </w:t>
      </w:r>
      <w:r w:rsidR="00814A3E">
        <w:rPr>
          <w:lang w:val="en-US"/>
        </w:rPr>
        <w:t>In t</w:t>
      </w:r>
      <w:r w:rsidR="003506AA">
        <w:rPr>
          <w:lang w:val="en-US"/>
        </w:rPr>
        <w:t xml:space="preserve">he current </w:t>
      </w:r>
      <w:r w:rsidR="00536C05">
        <w:t xml:space="preserve">programming period </w:t>
      </w:r>
      <w:r w:rsidR="003506AA">
        <w:t>(2014-2020)</w:t>
      </w:r>
      <w:r w:rsidR="00814A3E">
        <w:t xml:space="preserve">, a new legislative framework for these funds has been brought forward </w:t>
      </w:r>
      <w:r w:rsidR="00536C05">
        <w:t xml:space="preserve">and </w:t>
      </w:r>
      <w:r w:rsidR="006E4200">
        <w:rPr>
          <w:lang w:val="en-US"/>
        </w:rPr>
        <w:t>a</w:t>
      </w:r>
      <w:r>
        <w:rPr>
          <w:lang w:val="en-US"/>
        </w:rPr>
        <w:t xml:space="preserve"> </w:t>
      </w:r>
      <w:r w:rsidR="00814A3E">
        <w:rPr>
          <w:lang w:val="en-US"/>
        </w:rPr>
        <w:t xml:space="preserve">new </w:t>
      </w:r>
      <w:r>
        <w:rPr>
          <w:lang w:val="en-US"/>
        </w:rPr>
        <w:t>set of rules clearly link</w:t>
      </w:r>
      <w:r w:rsidR="006E4200">
        <w:rPr>
          <w:lang w:val="en-US"/>
        </w:rPr>
        <w:t>s</w:t>
      </w:r>
      <w:r>
        <w:rPr>
          <w:lang w:val="en-US"/>
        </w:rPr>
        <w:t xml:space="preserve"> the </w:t>
      </w:r>
      <w:r w:rsidR="00631D5C" w:rsidRPr="00B76995">
        <w:rPr>
          <w:lang w:val="en-US"/>
        </w:rPr>
        <w:t>E</w:t>
      </w:r>
      <w:r w:rsidR="00132F74">
        <w:rPr>
          <w:lang w:val="en-US"/>
        </w:rPr>
        <w:t>SI</w:t>
      </w:r>
      <w:r>
        <w:rPr>
          <w:lang w:val="en-US"/>
        </w:rPr>
        <w:t xml:space="preserve"> Funds </w:t>
      </w:r>
      <w:r w:rsidR="00132F74">
        <w:rPr>
          <w:lang w:val="en-US"/>
        </w:rPr>
        <w:t xml:space="preserve">with the </w:t>
      </w:r>
      <w:r w:rsidR="00631D5C" w:rsidRPr="00B76995">
        <w:rPr>
          <w:lang w:val="en-US"/>
        </w:rPr>
        <w:t>E</w:t>
      </w:r>
      <w:r w:rsidR="00132F74">
        <w:rPr>
          <w:lang w:val="en-US"/>
        </w:rPr>
        <w:t xml:space="preserve">U </w:t>
      </w:r>
      <w:r w:rsidR="00631D5C" w:rsidRPr="00B76995">
        <w:rPr>
          <w:lang w:val="en-US"/>
        </w:rPr>
        <w:t xml:space="preserve">2020 </w:t>
      </w:r>
      <w:r w:rsidR="00132F74">
        <w:rPr>
          <w:lang w:val="en-US"/>
        </w:rPr>
        <w:t>S</w:t>
      </w:r>
      <w:r w:rsidR="00631D5C" w:rsidRPr="00B76995">
        <w:rPr>
          <w:lang w:val="en-US"/>
        </w:rPr>
        <w:t>trategy</w:t>
      </w:r>
      <w:r w:rsidR="006E4200">
        <w:rPr>
          <w:lang w:val="en-US"/>
        </w:rPr>
        <w:t xml:space="preserve"> </w:t>
      </w:r>
      <w:r w:rsidR="006E4200" w:rsidRPr="005A217E">
        <w:t>for smart, sustainable and inclusive growth</w:t>
      </w:r>
      <w:r w:rsidR="00E432C3">
        <w:t xml:space="preserve"> [10]</w:t>
      </w:r>
      <w:r w:rsidR="00536C05">
        <w:t xml:space="preserve">. </w:t>
      </w:r>
      <w:r w:rsidR="00814A3E">
        <w:t xml:space="preserve">Indeed, </w:t>
      </w:r>
      <w:r w:rsidR="00132F74">
        <w:rPr>
          <w:lang w:val="en-US"/>
        </w:rPr>
        <w:t xml:space="preserve">at </w:t>
      </w:r>
      <w:r w:rsidR="00132F74" w:rsidRPr="005A217E">
        <w:t xml:space="preserve">least three of the five headline goals of the </w:t>
      </w:r>
      <w:r w:rsidR="00CC2AFC">
        <w:t xml:space="preserve">EU 2020 </w:t>
      </w:r>
      <w:r w:rsidR="00132F74">
        <w:t>St</w:t>
      </w:r>
      <w:r w:rsidR="00132F74" w:rsidRPr="005A217E">
        <w:t>rategy relate directly to employment</w:t>
      </w:r>
      <w:r w:rsidR="00132F74">
        <w:t xml:space="preserve"> and productivity, </w:t>
      </w:r>
      <w:r w:rsidR="00132F74" w:rsidRPr="005A217E">
        <w:t>with a focus on the target of “new skills for new jobs”.</w:t>
      </w:r>
      <w:r w:rsidR="00132F74">
        <w:t xml:space="preserve"> </w:t>
      </w:r>
      <w:r w:rsidR="008D036E">
        <w:t>In particular, w</w:t>
      </w:r>
      <w:r w:rsidR="00132F74">
        <w:t xml:space="preserve">ithin the </w:t>
      </w:r>
      <w:r w:rsidR="00EA7EE1">
        <w:t>S</w:t>
      </w:r>
      <w:r w:rsidR="00132F74">
        <w:t>trategy’s objective of sustainable growth, E</w:t>
      </w:r>
      <w:r w:rsidR="008D036E">
        <w:t xml:space="preserve">U </w:t>
      </w:r>
      <w:r w:rsidR="00132F74">
        <w:t xml:space="preserve">2020 fosters a high-employment economy that delivers social and territorial cohesion. In this respect, the European Commission sets the first target that 75% of </w:t>
      </w:r>
      <w:r w:rsidR="008D036E">
        <w:t xml:space="preserve">the </w:t>
      </w:r>
      <w:r w:rsidR="00132F74">
        <w:t>population aged 20-64 should be employed by 2020, and within the seven flagship initiatives, the Commission puts forward “an agenda for new skills and jobs”</w:t>
      </w:r>
      <w:r w:rsidR="00E432C3">
        <w:t xml:space="preserve"> [9]</w:t>
      </w:r>
      <w:r w:rsidR="009471F7">
        <w:t xml:space="preserve"> </w:t>
      </w:r>
      <w:r w:rsidR="00132F74">
        <w:t>to empower people by developing skills throughout the lifecycle with a view to better match labour supply and demand.</w:t>
      </w:r>
    </w:p>
    <w:p w14:paraId="27E88E33" w14:textId="08F43AEC" w:rsidR="007B6D52" w:rsidRDefault="00465804" w:rsidP="007B6D52">
      <w:pPr>
        <w:suppressAutoHyphens w:val="0"/>
        <w:autoSpaceDE w:val="0"/>
        <w:autoSpaceDN w:val="0"/>
        <w:adjustRightInd w:val="0"/>
        <w:ind w:firstLine="284"/>
        <w:jc w:val="both"/>
      </w:pPr>
      <w:r>
        <w:t>In this paper, h</w:t>
      </w:r>
      <w:r w:rsidR="005A1BB7">
        <w:t>aving regard to the close links between the different programming periods of the E</w:t>
      </w:r>
      <w:r w:rsidR="007B6D52">
        <w:t>SI Funds</w:t>
      </w:r>
      <w:r w:rsidR="00453A1E">
        <w:t xml:space="preserve"> </w:t>
      </w:r>
      <w:r w:rsidR="007A0F52">
        <w:t xml:space="preserve">(the progress reached in a period lays the basis for the </w:t>
      </w:r>
      <w:r w:rsidR="00B750BE">
        <w:t>time after</w:t>
      </w:r>
      <w:r w:rsidR="007A0F52">
        <w:t>)</w:t>
      </w:r>
      <w:r w:rsidR="007B6D52">
        <w:t xml:space="preserve">, </w:t>
      </w:r>
      <w:r w:rsidR="00BF6274">
        <w:t xml:space="preserve">we </w:t>
      </w:r>
      <w:r w:rsidR="00B750BE">
        <w:t>investigate</w:t>
      </w:r>
      <w:r w:rsidR="00A470CB">
        <w:t xml:space="preserve"> the impact of the </w:t>
      </w:r>
      <w:r w:rsidR="00BF6274">
        <w:t xml:space="preserve">EU funding </w:t>
      </w:r>
      <w:r w:rsidR="00A470CB">
        <w:t>on</w:t>
      </w:r>
      <w:r w:rsidR="00BF6274">
        <w:t xml:space="preserve"> </w:t>
      </w:r>
      <w:r w:rsidR="007B6D52">
        <w:t xml:space="preserve">employment </w:t>
      </w:r>
      <w:r w:rsidR="00A470CB">
        <w:t xml:space="preserve">at regional level </w:t>
      </w:r>
      <w:r w:rsidR="003B27F0">
        <w:t xml:space="preserve">within </w:t>
      </w:r>
      <w:r w:rsidR="007A0F52">
        <w:t xml:space="preserve">each </w:t>
      </w:r>
      <w:r w:rsidR="003B27F0">
        <w:t>EU countr</w:t>
      </w:r>
      <w:r w:rsidR="007A0F52">
        <w:t>y</w:t>
      </w:r>
      <w:r w:rsidR="003B27F0">
        <w:t xml:space="preserve"> </w:t>
      </w:r>
      <w:r w:rsidR="007B6D52">
        <w:t xml:space="preserve">over the period 2007-2013. </w:t>
      </w:r>
      <w:r w:rsidR="00D276DB">
        <w:t>Some researchers</w:t>
      </w:r>
      <w:r w:rsidR="00227542">
        <w:t xml:space="preserve"> have </w:t>
      </w:r>
      <w:r w:rsidR="0056789D">
        <w:t xml:space="preserve">analysed the relationship between the </w:t>
      </w:r>
      <w:r w:rsidR="00825222">
        <w:t xml:space="preserve">structural </w:t>
      </w:r>
      <w:r w:rsidR="00D276DB">
        <w:t xml:space="preserve">funds </w:t>
      </w:r>
      <w:r w:rsidR="00227542">
        <w:t xml:space="preserve">of </w:t>
      </w:r>
      <w:r w:rsidR="00437F65">
        <w:t xml:space="preserve">the </w:t>
      </w:r>
      <w:r w:rsidR="0056789D">
        <w:t>pre</w:t>
      </w:r>
      <w:r w:rsidR="00227542">
        <w:t xml:space="preserve">vious programming </w:t>
      </w:r>
      <w:r w:rsidR="008F2197">
        <w:t>cycles</w:t>
      </w:r>
      <w:r w:rsidR="00227542">
        <w:t xml:space="preserve"> </w:t>
      </w:r>
      <w:r w:rsidR="00437F65">
        <w:t>and</w:t>
      </w:r>
      <w:r w:rsidR="00D276DB">
        <w:t xml:space="preserve"> the </w:t>
      </w:r>
      <w:r w:rsidR="0056789D">
        <w:t xml:space="preserve">economic convergence </w:t>
      </w:r>
      <w:r w:rsidR="00825222">
        <w:t>at national and regional level</w:t>
      </w:r>
      <w:r w:rsidR="0056789D">
        <w:t>s</w:t>
      </w:r>
      <w:r w:rsidR="00825222">
        <w:t xml:space="preserve"> with </w:t>
      </w:r>
      <w:r w:rsidR="0056789D">
        <w:t xml:space="preserve">conflicting </w:t>
      </w:r>
      <w:r w:rsidR="00825222">
        <w:t xml:space="preserve">results (see, among others, </w:t>
      </w:r>
      <w:r w:rsidR="00E04DEE">
        <w:t>[4]</w:t>
      </w:r>
      <w:r w:rsidR="00D905AA">
        <w:t xml:space="preserve">, </w:t>
      </w:r>
      <w:r w:rsidR="00E04DEE">
        <w:t xml:space="preserve">[13], </w:t>
      </w:r>
      <w:proofErr w:type="gramStart"/>
      <w:r w:rsidR="00E04DEE">
        <w:t>[</w:t>
      </w:r>
      <w:proofErr w:type="gramEnd"/>
      <w:r w:rsidR="00E04DEE">
        <w:t>5]</w:t>
      </w:r>
      <w:r w:rsidR="00CE4FCD">
        <w:t>)</w:t>
      </w:r>
      <w:r w:rsidR="00C435F4">
        <w:t xml:space="preserve">, </w:t>
      </w:r>
      <w:r w:rsidR="00DE2462">
        <w:t xml:space="preserve">which </w:t>
      </w:r>
      <w:r w:rsidR="0056789D">
        <w:t>often</w:t>
      </w:r>
      <w:r w:rsidR="00C435F4">
        <w:t xml:space="preserve"> </w:t>
      </w:r>
      <w:r w:rsidR="0056789D">
        <w:t xml:space="preserve">also </w:t>
      </w:r>
      <w:r w:rsidR="00C435F4">
        <w:t xml:space="preserve">depend on the empirical strategy </w:t>
      </w:r>
      <w:r w:rsidR="00DE2462">
        <w:t>used</w:t>
      </w:r>
      <w:r w:rsidR="00C435F4">
        <w:t xml:space="preserve"> </w:t>
      </w:r>
      <w:r w:rsidR="00E04DEE">
        <w:t>[2]</w:t>
      </w:r>
      <w:r w:rsidR="00C435F4">
        <w:t>.</w:t>
      </w:r>
      <w:r w:rsidR="00227542">
        <w:t xml:space="preserve"> </w:t>
      </w:r>
      <w:r w:rsidR="00DE06BA">
        <w:t>B</w:t>
      </w:r>
      <w:r w:rsidR="007B6D52">
        <w:t>y performing the Difference-in-Difference</w:t>
      </w:r>
      <w:r w:rsidR="00367C1B">
        <w:t>s</w:t>
      </w:r>
      <w:r w:rsidR="007B6D52">
        <w:t xml:space="preserve"> (DiD) strategy, we assess the extent to which </w:t>
      </w:r>
      <w:r w:rsidR="00725CE6">
        <w:t xml:space="preserve">the </w:t>
      </w:r>
      <w:r w:rsidR="003B27F0">
        <w:t>EU fund</w:t>
      </w:r>
      <w:r w:rsidR="00725CE6">
        <w:t>ing</w:t>
      </w:r>
      <w:r w:rsidR="007B6D52">
        <w:t xml:space="preserve"> ha</w:t>
      </w:r>
      <w:r w:rsidR="00725CE6">
        <w:t>s</w:t>
      </w:r>
      <w:r w:rsidR="007B6D52">
        <w:t xml:space="preserve"> supported the convergence</w:t>
      </w:r>
      <w:r w:rsidR="007B6D52" w:rsidRPr="00FB6AB0">
        <w:t xml:space="preserve"> </w:t>
      </w:r>
      <w:r w:rsidR="007B6D52">
        <w:t xml:space="preserve">for employment between 2007 and 2013, </w:t>
      </w:r>
      <w:r w:rsidR="00C539E4">
        <w:t xml:space="preserve">paving the way </w:t>
      </w:r>
      <w:r w:rsidR="007B6D52" w:rsidRPr="00C65FAB">
        <w:t xml:space="preserve">for the </w:t>
      </w:r>
      <w:r w:rsidR="007B6D52">
        <w:t xml:space="preserve">first headline goal of the </w:t>
      </w:r>
      <w:r w:rsidR="007B6D52" w:rsidRPr="00C65FAB">
        <w:t>EU 2020 Strategy.</w:t>
      </w:r>
      <w:r w:rsidR="007B6D52">
        <w:t xml:space="preserve"> </w:t>
      </w:r>
      <w:r w:rsidR="00725CE6">
        <w:t>Later</w:t>
      </w:r>
      <w:r w:rsidR="00B750BE">
        <w:t>, c</w:t>
      </w:r>
      <w:r w:rsidR="007B6D52">
        <w:t xml:space="preserve">ontrolling for the socio-economic background at the regional level, a </w:t>
      </w:r>
      <w:r w:rsidR="00725CE6">
        <w:t xml:space="preserve">special </w:t>
      </w:r>
      <w:r w:rsidR="007B6D52" w:rsidRPr="00252F49">
        <w:t xml:space="preserve">concern </w:t>
      </w:r>
      <w:r w:rsidR="007B6D52">
        <w:t>is</w:t>
      </w:r>
      <w:r w:rsidR="007B6D52" w:rsidRPr="00252F49">
        <w:t xml:space="preserve"> devoted to</w:t>
      </w:r>
      <w:r w:rsidR="007B6D52">
        <w:t xml:space="preserve"> Italy with the aim of </w:t>
      </w:r>
      <w:r w:rsidR="00461AEC">
        <w:t>exploring</w:t>
      </w:r>
      <w:r w:rsidR="007B6D52">
        <w:t xml:space="preserve"> the main reasons behind the controversial impact of EU fund</w:t>
      </w:r>
      <w:r w:rsidR="00725CE6">
        <w:t>s</w:t>
      </w:r>
      <w:r w:rsidR="007B6D52">
        <w:t xml:space="preserve"> on </w:t>
      </w:r>
      <w:r w:rsidR="00184C79">
        <w:t xml:space="preserve">regional </w:t>
      </w:r>
      <w:r w:rsidR="007B6D52">
        <w:t>employment.</w:t>
      </w:r>
    </w:p>
    <w:p w14:paraId="1FA3F5CC" w14:textId="3DE383C2" w:rsidR="006500E5" w:rsidRPr="00B42689" w:rsidRDefault="006500E5" w:rsidP="006500E5">
      <w:pPr>
        <w:pStyle w:val="Maintext"/>
        <w:ind w:firstLine="284"/>
        <w:rPr>
          <w:sz w:val="20"/>
        </w:rPr>
      </w:pPr>
      <w:r w:rsidRPr="00B42689">
        <w:rPr>
          <w:sz w:val="20"/>
        </w:rPr>
        <w:t xml:space="preserve">With </w:t>
      </w:r>
      <w:r>
        <w:rPr>
          <w:sz w:val="20"/>
        </w:rPr>
        <w:t>specific reference</w:t>
      </w:r>
      <w:r w:rsidRPr="00B42689">
        <w:rPr>
          <w:sz w:val="20"/>
        </w:rPr>
        <w:t xml:space="preserve"> to the 2007-2013 funding period, NUTS2 regions with </w:t>
      </w:r>
      <w:r>
        <w:rPr>
          <w:sz w:val="20"/>
        </w:rPr>
        <w:t xml:space="preserve">a </w:t>
      </w:r>
      <w:r w:rsidRPr="00B42689">
        <w:rPr>
          <w:sz w:val="20"/>
        </w:rPr>
        <w:t xml:space="preserve">per capita GDP lower than 75% of the EU average were eligible under the </w:t>
      </w:r>
      <w:r w:rsidRPr="00B42689">
        <w:rPr>
          <w:sz w:val="20"/>
        </w:rPr>
        <w:lastRenderedPageBreak/>
        <w:t>convergence objective</w:t>
      </w:r>
      <w:r w:rsidRPr="00B42689">
        <w:rPr>
          <w:rStyle w:val="Rimandonotaapidipagina"/>
          <w:sz w:val="20"/>
        </w:rPr>
        <w:footnoteReference w:id="2"/>
      </w:r>
      <w:r w:rsidRPr="00B42689">
        <w:rPr>
          <w:sz w:val="20"/>
        </w:rPr>
        <w:t>. Because of the enlargement to EU-25, a phasing-out support was assured to regions</w:t>
      </w:r>
      <w:r w:rsidRPr="00B42689">
        <w:rPr>
          <w:rStyle w:val="Rimandonotaapidipagina"/>
          <w:sz w:val="20"/>
        </w:rPr>
        <w:footnoteReference w:id="3"/>
      </w:r>
      <w:r w:rsidRPr="00B42689">
        <w:rPr>
          <w:sz w:val="20"/>
        </w:rPr>
        <w:t xml:space="preserve"> that were below the threshold of 75% of GDP for the EU</w:t>
      </w:r>
      <w:r>
        <w:rPr>
          <w:sz w:val="20"/>
        </w:rPr>
        <w:t xml:space="preserve">-15 while </w:t>
      </w:r>
      <w:r w:rsidRPr="00B42689">
        <w:rPr>
          <w:sz w:val="20"/>
        </w:rPr>
        <w:t>they were above the same threshold for the EU</w:t>
      </w:r>
      <w:r>
        <w:rPr>
          <w:sz w:val="20"/>
        </w:rPr>
        <w:t>-25</w:t>
      </w:r>
      <w:r w:rsidRPr="00B42689">
        <w:rPr>
          <w:sz w:val="20"/>
        </w:rPr>
        <w:t xml:space="preserve">. </w:t>
      </w:r>
      <w:r w:rsidRPr="00C04322">
        <w:rPr>
          <w:sz w:val="20"/>
        </w:rPr>
        <w:t>Based on the Council Regulation</w:t>
      </w:r>
      <w:r w:rsidR="00C04322" w:rsidRPr="00C04322">
        <w:rPr>
          <w:sz w:val="20"/>
        </w:rPr>
        <w:t>s</w:t>
      </w:r>
      <w:r w:rsidR="00C04322">
        <w:rPr>
          <w:sz w:val="20"/>
        </w:rPr>
        <w:t xml:space="preserve"> (No 1080/2006 and 1083/2006)</w:t>
      </w:r>
      <w:r w:rsidR="00C04322" w:rsidRPr="00C04322">
        <w:rPr>
          <w:sz w:val="20"/>
        </w:rPr>
        <w:t>,</w:t>
      </w:r>
      <w:r w:rsidRPr="00C04322">
        <w:rPr>
          <w:sz w:val="20"/>
        </w:rPr>
        <w:t xml:space="preserve"> th</w:t>
      </w:r>
      <w:r w:rsidRPr="00B42689">
        <w:rPr>
          <w:sz w:val="20"/>
        </w:rPr>
        <w:t xml:space="preserve">e convergence objective concerned 84 regions within 18 Member States of EU-27 with a total of 154 million inhabitants, and on the “phasing-out” basis, other 16 regions </w:t>
      </w:r>
      <w:r>
        <w:rPr>
          <w:sz w:val="20"/>
        </w:rPr>
        <w:t xml:space="preserve">within 8 countries </w:t>
      </w:r>
      <w:r w:rsidRPr="00B42689">
        <w:rPr>
          <w:sz w:val="20"/>
        </w:rPr>
        <w:t xml:space="preserve">with a population of 16.4 million. The amount </w:t>
      </w:r>
      <w:r>
        <w:rPr>
          <w:sz w:val="20"/>
        </w:rPr>
        <w:t>allocated</w:t>
      </w:r>
      <w:r w:rsidRPr="00B42689">
        <w:rPr>
          <w:sz w:val="20"/>
        </w:rPr>
        <w:t xml:space="preserve"> </w:t>
      </w:r>
      <w:r>
        <w:rPr>
          <w:sz w:val="20"/>
        </w:rPr>
        <w:t>for ESI</w:t>
      </w:r>
      <w:r w:rsidR="00C04322">
        <w:rPr>
          <w:sz w:val="20"/>
        </w:rPr>
        <w:t xml:space="preserve"> Funds</w:t>
      </w:r>
      <w:r>
        <w:rPr>
          <w:sz w:val="20"/>
        </w:rPr>
        <w:t xml:space="preserve"> </w:t>
      </w:r>
      <w:r w:rsidRPr="00B42689">
        <w:rPr>
          <w:sz w:val="20"/>
        </w:rPr>
        <w:t xml:space="preserve">was assigned </w:t>
      </w:r>
      <w:r w:rsidR="00E74A50">
        <w:rPr>
          <w:sz w:val="20"/>
        </w:rPr>
        <w:t>to</w:t>
      </w:r>
      <w:r w:rsidRPr="00B42689">
        <w:rPr>
          <w:sz w:val="20"/>
        </w:rPr>
        <w:t xml:space="preserve"> the convergence regions (70.47%) and “phasing-out” regions (4.95%)</w:t>
      </w:r>
      <w:r w:rsidR="00E74A50">
        <w:rPr>
          <w:sz w:val="20"/>
        </w:rPr>
        <w:t>,</w:t>
      </w:r>
      <w:r w:rsidRPr="00B42689">
        <w:rPr>
          <w:sz w:val="20"/>
        </w:rPr>
        <w:t xml:space="preserve"> while the remaining part concerned the Cohesion Fund (24.58%).</w:t>
      </w:r>
    </w:p>
    <w:p w14:paraId="70196095" w14:textId="77777777" w:rsidR="005B0D26" w:rsidRPr="00032734" w:rsidRDefault="005B0D26" w:rsidP="005B0D26">
      <w:pPr>
        <w:pStyle w:val="SectionHeading"/>
        <w:numPr>
          <w:ilvl w:val="0"/>
          <w:numId w:val="8"/>
        </w:numPr>
        <w:tabs>
          <w:tab w:val="left" w:pos="284"/>
        </w:tabs>
        <w:ind w:hanging="644"/>
        <w:rPr>
          <w:lang w:val="en-GB"/>
        </w:rPr>
      </w:pPr>
      <w:r>
        <w:rPr>
          <w:lang w:val="en-GB"/>
        </w:rPr>
        <w:t>Methods and data</w:t>
      </w:r>
    </w:p>
    <w:p w14:paraId="189B2D4A" w14:textId="704995B2" w:rsidR="00D97F6B" w:rsidRDefault="00DE1F99" w:rsidP="00DE1F99">
      <w:pPr>
        <w:jc w:val="both"/>
      </w:pPr>
      <w:r>
        <w:t xml:space="preserve">The effect of </w:t>
      </w:r>
      <w:r w:rsidR="008B1BC6">
        <w:t xml:space="preserve">the </w:t>
      </w:r>
      <w:r w:rsidR="00213DA2">
        <w:t>regional fund</w:t>
      </w:r>
      <w:r w:rsidR="008B1BC6">
        <w:t>s</w:t>
      </w:r>
      <w:r w:rsidR="00213DA2">
        <w:t xml:space="preserve"> </w:t>
      </w:r>
      <w:r>
        <w:t xml:space="preserve">on local employment </w:t>
      </w:r>
      <w:r w:rsidR="00213DA2">
        <w:t xml:space="preserve">and their contribution to convergence </w:t>
      </w:r>
      <w:r w:rsidR="008B1BC6">
        <w:t xml:space="preserve">across </w:t>
      </w:r>
      <w:r w:rsidR="008865AC">
        <w:t xml:space="preserve">EU </w:t>
      </w:r>
      <w:r w:rsidR="008B1BC6">
        <w:t xml:space="preserve">NUTS2 regions </w:t>
      </w:r>
      <w:r>
        <w:t>is exploited by</w:t>
      </w:r>
      <w:r w:rsidRPr="00DF767E">
        <w:t xml:space="preserve"> the </w:t>
      </w:r>
      <w:proofErr w:type="gramStart"/>
      <w:r>
        <w:t>DiD</w:t>
      </w:r>
      <w:proofErr w:type="gramEnd"/>
      <w:r>
        <w:t xml:space="preserve"> strategy </w:t>
      </w:r>
      <w:r w:rsidR="00E04DEE">
        <w:t>[3]</w:t>
      </w:r>
      <w:r w:rsidR="008872D0">
        <w:t>. This method evaluates t</w:t>
      </w:r>
      <w:r w:rsidR="00EE2AEC">
        <w:t xml:space="preserve">he </w:t>
      </w:r>
      <w:r>
        <w:t xml:space="preserve">differential effect of a treatment by comparing the change over time in the outcome for </w:t>
      </w:r>
      <w:r w:rsidR="008865AC">
        <w:t>the</w:t>
      </w:r>
      <w:r>
        <w:t xml:space="preserve"> treat</w:t>
      </w:r>
      <w:r w:rsidR="000C4BCA">
        <w:t>ed</w:t>
      </w:r>
      <w:r>
        <w:t xml:space="preserve"> group with the change </w:t>
      </w:r>
      <w:r w:rsidR="00213DA2">
        <w:t xml:space="preserve">that has </w:t>
      </w:r>
      <w:r w:rsidR="00EE2AEC">
        <w:t xml:space="preserve">occurred in the same </w:t>
      </w:r>
      <w:r w:rsidR="000C4BCA">
        <w:t xml:space="preserve">timespan </w:t>
      </w:r>
      <w:r>
        <w:t xml:space="preserve">for </w:t>
      </w:r>
      <w:r w:rsidR="008865AC">
        <w:t>the</w:t>
      </w:r>
      <w:r>
        <w:t xml:space="preserve"> control group. </w:t>
      </w:r>
    </w:p>
    <w:p w14:paraId="14253EC9" w14:textId="77777777" w:rsidR="00DE1F99" w:rsidRDefault="00D97F6B" w:rsidP="00D97F6B">
      <w:pPr>
        <w:ind w:firstLine="284"/>
        <w:jc w:val="both"/>
      </w:pPr>
      <w:r>
        <w:t>T</w:t>
      </w:r>
      <w:r w:rsidR="008872D0">
        <w:t xml:space="preserve">he </w:t>
      </w:r>
      <w:proofErr w:type="gramStart"/>
      <w:r w:rsidR="008872D0">
        <w:t>DiD</w:t>
      </w:r>
      <w:proofErr w:type="gramEnd"/>
      <w:r w:rsidR="008872D0">
        <w:t xml:space="preserve"> </w:t>
      </w:r>
      <w:r>
        <w:t xml:space="preserve">strategy </w:t>
      </w:r>
      <w:r w:rsidR="008872D0">
        <w:t xml:space="preserve">allows us to compare </w:t>
      </w:r>
      <w:r w:rsidR="00791162">
        <w:t xml:space="preserve">the </w:t>
      </w:r>
      <w:r w:rsidR="008872D0">
        <w:t xml:space="preserve">NUTS2 regions that received the EU funding </w:t>
      </w:r>
      <w:r w:rsidR="001F637B">
        <w:t>(</w:t>
      </w:r>
      <w:r w:rsidR="00DE1F99">
        <w:t>treat</w:t>
      </w:r>
      <w:r w:rsidR="008865AC">
        <w:t>ed</w:t>
      </w:r>
      <w:r w:rsidR="00DE1F99">
        <w:t xml:space="preserve"> group) </w:t>
      </w:r>
      <w:r w:rsidR="000C6CCE">
        <w:t xml:space="preserve">between 2007 and 2013 </w:t>
      </w:r>
      <w:r w:rsidR="008872D0">
        <w:t xml:space="preserve">with </w:t>
      </w:r>
      <w:r w:rsidR="00DE1F99">
        <w:t xml:space="preserve">those regions that did not </w:t>
      </w:r>
      <w:r w:rsidR="00791162">
        <w:t>(control group)</w:t>
      </w:r>
      <w:r w:rsidR="00DE1F99">
        <w:t xml:space="preserve">. </w:t>
      </w:r>
      <w:r w:rsidR="000C6CCE">
        <w:t>B</w:t>
      </w:r>
      <w:r w:rsidR="00DE1F99">
        <w:t xml:space="preserve">oth groups of regions are analysed before (2000-2006) and after (2014-2016) the 2007-2013 funding period. The </w:t>
      </w:r>
      <w:proofErr w:type="gramStart"/>
      <w:r w:rsidR="00DE1F99">
        <w:t>DiD</w:t>
      </w:r>
      <w:proofErr w:type="gramEnd"/>
      <w:r w:rsidR="00DE1F99">
        <w:t xml:space="preserve"> model </w:t>
      </w:r>
      <w:r w:rsidR="008865AC">
        <w:t>is</w:t>
      </w:r>
      <w:r w:rsidR="00DE1F99">
        <w:t xml:space="preserve"> </w:t>
      </w:r>
      <w:r w:rsidR="00D37CCF">
        <w:t>drawn</w:t>
      </w:r>
      <w:r w:rsidR="00DE1F99">
        <w:t xml:space="preserve"> as follows:</w:t>
      </w:r>
    </w:p>
    <w:p w14:paraId="6867A017" w14:textId="77777777" w:rsidR="0096176F" w:rsidRPr="00643C78" w:rsidRDefault="000C4BCA" w:rsidP="00D627FD">
      <w:pPr>
        <w:spacing w:before="60"/>
        <w:ind w:left="1418"/>
        <w:rPr>
          <w:rFonts w:eastAsiaTheme="minorEastAsia"/>
        </w:rPr>
      </w:pPr>
      <w:r>
        <w:rPr>
          <w:vertAlign w:val="subscript"/>
        </w:rPr>
        <w:t xml:space="preserve">      </w:t>
      </w:r>
      <w:r w:rsidR="0096176F" w:rsidRPr="00E1699C">
        <w:rPr>
          <w:vertAlign w:val="subscript"/>
        </w:rPr>
        <w:t xml:space="preserve">      </w:t>
      </w:r>
      <m:oMath>
        <m:r>
          <w:rPr>
            <w:rFonts w:ascii="Cambria Math" w:hAnsi="Cambria Math"/>
            <w:vertAlign w:val="subscript"/>
          </w:rPr>
          <m:t>y=</m:t>
        </m:r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α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eastAsiaTheme="minorEastAsia" w:hAnsi="Cambria Math"/>
            <w:vertAlign w:val="subscript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α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/>
            <w:vertAlign w:val="subscript"/>
          </w:rPr>
          <m:t>S+</m:t>
        </m:r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δ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0</m:t>
            </m:r>
          </m:sub>
        </m:sSub>
        <m:r>
          <w:rPr>
            <w:rFonts w:ascii="Cambria Math" w:eastAsiaTheme="minorEastAsia" w:hAnsi="Cambria Math"/>
            <w:vertAlign w:val="subscript"/>
          </w:rPr>
          <m:t>T+</m:t>
        </m:r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δ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/>
            <w:vertAlign w:val="subscript"/>
          </w:rPr>
          <m:t xml:space="preserve">T∙S+Xβ+u                           </m:t>
        </m:r>
      </m:oMath>
      <w:r w:rsidR="0096176F" w:rsidRPr="00643C78">
        <w:rPr>
          <w:rFonts w:eastAsiaTheme="minorEastAsia"/>
          <w:vertAlign w:val="subscript"/>
        </w:rPr>
        <w:t xml:space="preserve"> </w:t>
      </w:r>
      <w:r>
        <w:rPr>
          <w:rFonts w:eastAsiaTheme="minorEastAsia"/>
          <w:vertAlign w:val="subscript"/>
        </w:rPr>
        <w:t xml:space="preserve">      </w:t>
      </w:r>
      <w:r w:rsidR="0096176F" w:rsidRPr="00643C78">
        <w:rPr>
          <w:rFonts w:eastAsiaTheme="minorEastAsia"/>
        </w:rPr>
        <w:t xml:space="preserve">(1) </w:t>
      </w:r>
    </w:p>
    <w:p w14:paraId="3756F9BB" w14:textId="77777777" w:rsidR="005201D5" w:rsidRDefault="00E1699C" w:rsidP="00D627FD">
      <w:pPr>
        <w:spacing w:before="60"/>
        <w:jc w:val="both"/>
      </w:pPr>
      <w:proofErr w:type="gramStart"/>
      <w:r>
        <w:t>where</w:t>
      </w:r>
      <w:proofErr w:type="gramEnd"/>
      <w:r>
        <w:t xml:space="preserve"> </w:t>
      </w:r>
      <w:r w:rsidRPr="005E6730">
        <w:rPr>
          <w:i/>
        </w:rPr>
        <w:t>y</w:t>
      </w:r>
      <w:r>
        <w:t xml:space="preserve"> is </w:t>
      </w:r>
      <w:r w:rsidR="005E6730">
        <w:t xml:space="preserve">the </w:t>
      </w:r>
      <w:r w:rsidR="005E6730" w:rsidRPr="002D34D4">
        <w:rPr>
          <w:i/>
        </w:rPr>
        <w:t>Nx1</w:t>
      </w:r>
      <w:r w:rsidR="005E6730">
        <w:t xml:space="preserve"> vector </w:t>
      </w:r>
      <w:r w:rsidR="00791162">
        <w:t xml:space="preserve">of </w:t>
      </w:r>
      <w:r w:rsidR="002D34D4">
        <w:t xml:space="preserve">the </w:t>
      </w:r>
      <w:r>
        <w:t xml:space="preserve">outcome </w:t>
      </w:r>
      <w:r w:rsidR="00791162">
        <w:t>variable</w:t>
      </w:r>
      <w:r w:rsidR="00C06178">
        <w:t>.</w:t>
      </w:r>
      <w:r>
        <w:t xml:space="preserve"> </w:t>
      </w:r>
      <w:r w:rsidR="006A795D">
        <w:rPr>
          <w:i/>
        </w:rPr>
        <w:t>S</w:t>
      </w:r>
      <w:r w:rsidR="00517753">
        <w:t xml:space="preserve"> is a </w:t>
      </w:r>
      <w:r w:rsidR="000F73E1">
        <w:t xml:space="preserve">dummy </w:t>
      </w:r>
      <w:r w:rsidR="00517753">
        <w:t>variable</w:t>
      </w:r>
      <w:r w:rsidR="000F73E1">
        <w:t xml:space="preserve"> that</w:t>
      </w:r>
      <w:r w:rsidR="00E2568E">
        <w:t xml:space="preserve"> </w:t>
      </w:r>
      <w:r w:rsidR="00E60524">
        <w:t xml:space="preserve">takes on value </w:t>
      </w:r>
      <w:r w:rsidR="00517753">
        <w:t xml:space="preserve">1 </w:t>
      </w:r>
      <w:r w:rsidR="00E60524">
        <w:t xml:space="preserve">for </w:t>
      </w:r>
      <w:r w:rsidR="00FE6256">
        <w:t xml:space="preserve">the </w:t>
      </w:r>
      <w:r w:rsidR="003D7623">
        <w:t>recipient</w:t>
      </w:r>
      <w:r w:rsidR="00FE6256">
        <w:t xml:space="preserve"> regions </w:t>
      </w:r>
      <w:r w:rsidR="0071441C">
        <w:t xml:space="preserve">and 0 </w:t>
      </w:r>
      <w:r w:rsidR="00FE6256">
        <w:t>otherwise</w:t>
      </w:r>
      <w:r w:rsidR="00BB3C11">
        <w:t>;</w:t>
      </w:r>
      <w:r w:rsidR="006E485D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α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1</m:t>
            </m:r>
          </m:sub>
        </m:sSub>
      </m:oMath>
      <w:r w:rsidR="006E485D">
        <w:t xml:space="preserve"> </w:t>
      </w:r>
      <w:r w:rsidR="00F83C22">
        <w:t>accounts for</w:t>
      </w:r>
      <w:r w:rsidR="006E485D">
        <w:t xml:space="preserve"> the </w:t>
      </w:r>
      <w:r w:rsidR="005B2842">
        <w:t>difference between the two groups prior to treatment</w:t>
      </w:r>
      <w:r w:rsidR="00791162"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α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0</m:t>
            </m:r>
          </m:sub>
        </m:sSub>
      </m:oMath>
      <w:r w:rsidR="00E36BCF">
        <w:rPr>
          <w:vertAlign w:val="subscript"/>
        </w:rPr>
        <w:t xml:space="preserve"> </w:t>
      </w:r>
      <w:r w:rsidR="00791162">
        <w:t>i</w:t>
      </w:r>
      <w:r w:rsidR="007171D5">
        <w:t>s the intercept</w:t>
      </w:r>
      <w:r w:rsidR="00BE0A98">
        <w:t>.</w:t>
      </w:r>
      <w:r w:rsidR="002A64FC">
        <w:t xml:space="preserve"> </w:t>
      </w:r>
      <w:r w:rsidR="006A795D">
        <w:rPr>
          <w:i/>
        </w:rPr>
        <w:t xml:space="preserve">T </w:t>
      </w:r>
      <w:r w:rsidR="00087909">
        <w:t xml:space="preserve">is a </w:t>
      </w:r>
      <w:r w:rsidR="007D53E3">
        <w:t xml:space="preserve">dummy whose </w:t>
      </w:r>
      <w:r w:rsidR="00E60524">
        <w:t xml:space="preserve">value </w:t>
      </w:r>
      <w:r w:rsidR="007D53E3">
        <w:t>is 1 fo</w:t>
      </w:r>
      <w:r w:rsidR="00087909">
        <w:t>r the period of treatment and 0 otherwise</w:t>
      </w:r>
      <w:r w:rsidR="00BB3C11"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δ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0</m:t>
            </m:r>
          </m:sub>
        </m:sSub>
      </m:oMath>
      <w:r w:rsidR="00F83C22">
        <w:rPr>
          <w:vertAlign w:val="subscript"/>
        </w:rPr>
        <w:t xml:space="preserve"> </w:t>
      </w:r>
      <w:r w:rsidR="000573DE" w:rsidRPr="001E146F">
        <w:t>captures</w:t>
      </w:r>
      <w:r w:rsidR="00F83C22" w:rsidRPr="001E146F">
        <w:t xml:space="preserve"> the time </w:t>
      </w:r>
      <w:r w:rsidR="00C06178" w:rsidRPr="001E146F">
        <w:t>effect</w:t>
      </w:r>
      <w:r w:rsidR="000573DE" w:rsidRPr="001E146F">
        <w:t>s</w:t>
      </w:r>
      <w:r w:rsidR="001E146F">
        <w:t>,</w:t>
      </w:r>
      <w:r w:rsidR="00BE0A98" w:rsidRPr="001E146F">
        <w:t xml:space="preserve"> and </w:t>
      </w:r>
      <w:r w:rsidR="001E146F" w:rsidRPr="001E146F">
        <w:t>thus the c</w:t>
      </w:r>
      <w:r w:rsidR="00BE0A98" w:rsidRPr="001E146F">
        <w:t>hanges in the outcome variable in the absence of the treatment</w:t>
      </w:r>
      <w:r w:rsidR="00C06178" w:rsidRPr="001E146F">
        <w:t>.</w:t>
      </w:r>
      <w:r w:rsidR="00F83C22" w:rsidRPr="001E146F">
        <w:t xml:space="preserve"> </w:t>
      </w:r>
      <w:r w:rsidR="000573DE" w:rsidRPr="001E146F">
        <w:t xml:space="preserve">The interaction term </w:t>
      </w:r>
      <m:oMath>
        <m:r>
          <w:rPr>
            <w:rFonts w:ascii="Cambria Math" w:hAnsi="Cambria Math"/>
          </w:rPr>
          <m:t>(</m:t>
        </m:r>
        <m:r>
          <w:rPr>
            <w:rFonts w:ascii="Cambria Math" w:eastAsiaTheme="minorEastAsia" w:hAnsi="Cambria Math"/>
            <w:vertAlign w:val="subscript"/>
          </w:rPr>
          <m:t>T∙S)</m:t>
        </m:r>
      </m:oMath>
      <w:r w:rsidR="00CF7416" w:rsidRPr="001E146F">
        <w:t xml:space="preserve"> </w:t>
      </w:r>
      <w:r w:rsidR="00D22D0B" w:rsidRPr="001E146F">
        <w:t>is the same</w:t>
      </w:r>
      <w:r w:rsidR="00D22D0B">
        <w:t xml:space="preserve"> as a dummy equal to </w:t>
      </w:r>
      <w:r w:rsidR="00433946">
        <w:t>1</w:t>
      </w:r>
      <w:r w:rsidR="00D22D0B">
        <w:t xml:space="preserve"> for those </w:t>
      </w:r>
      <w:r w:rsidR="00CF7416">
        <w:t xml:space="preserve">treated </w:t>
      </w:r>
      <w:r w:rsidR="00D22D0B">
        <w:t>units in the treatment period</w:t>
      </w:r>
      <w:r w:rsidR="004623C3">
        <w:t>;</w:t>
      </w:r>
      <w:r w:rsidR="00C06178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δ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1</m:t>
            </m:r>
          </m:sub>
        </m:sSub>
      </m:oMath>
      <w:r w:rsidR="00C06178">
        <w:t xml:space="preserve"> </w:t>
      </w:r>
      <w:r w:rsidR="00B34945">
        <w:t>represents</w:t>
      </w:r>
      <w:r w:rsidR="00D97F6B">
        <w:t xml:space="preserve"> </w:t>
      </w:r>
      <w:r w:rsidR="00C06178">
        <w:t>the treatment effect.</w:t>
      </w:r>
      <w:r w:rsidR="00D37CCF">
        <w:t xml:space="preserve"> </w:t>
      </w:r>
      <w:r w:rsidR="00D37CCF" w:rsidRPr="00293A69">
        <w:rPr>
          <w:i/>
        </w:rPr>
        <w:t>X</w:t>
      </w:r>
      <w:r w:rsidR="00D37CCF">
        <w:t xml:space="preserve"> is the </w:t>
      </w:r>
      <w:proofErr w:type="spellStart"/>
      <w:r w:rsidR="00D37CCF" w:rsidRPr="00293A69">
        <w:rPr>
          <w:i/>
        </w:rPr>
        <w:t>NxK</w:t>
      </w:r>
      <w:proofErr w:type="spellEnd"/>
      <w:r w:rsidR="00D37CCF">
        <w:t xml:space="preserve"> matrix of </w:t>
      </w:r>
      <w:r w:rsidR="00D37CCF">
        <w:lastRenderedPageBreak/>
        <w:t>covariates</w:t>
      </w:r>
      <w:r w:rsidR="004623C3">
        <w:t xml:space="preserve"> and </w:t>
      </w:r>
      <m:oMath>
        <m:r>
          <w:rPr>
            <w:rFonts w:ascii="Cambria Math" w:eastAsiaTheme="minorEastAsia" w:hAnsi="Cambria Math"/>
            <w:vertAlign w:val="subscript"/>
          </w:rPr>
          <m:t>β</m:t>
        </m:r>
      </m:oMath>
      <w:r w:rsidR="004623C3">
        <w:t xml:space="preserve"> the vector of coefficients. Finally, </w:t>
      </w:r>
      <m:oMath>
        <m:r>
          <w:rPr>
            <w:rFonts w:ascii="Cambria Math" w:hAnsi="Cambria Math"/>
          </w:rPr>
          <m:t>u~N(0,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u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D37CCF">
        <w:t xml:space="preserve"> is </w:t>
      </w:r>
      <w:r w:rsidR="00927E04">
        <w:t>the</w:t>
      </w:r>
      <w:r w:rsidR="00D37CCF">
        <w:t xml:space="preserve"> </w:t>
      </w:r>
      <w:r w:rsidR="00D37CCF" w:rsidRPr="00927E04">
        <w:rPr>
          <w:i/>
        </w:rPr>
        <w:t>Nx1</w:t>
      </w:r>
      <w:r w:rsidR="00D37CCF">
        <w:t xml:space="preserve"> vector of uncorrelated </w:t>
      </w:r>
      <w:proofErr w:type="gramStart"/>
      <w:r w:rsidR="00D37CCF">
        <w:t>error</w:t>
      </w:r>
      <w:r w:rsidR="00927E04">
        <w:t>s.</w:t>
      </w:r>
      <w:proofErr w:type="gramEnd"/>
      <w:r w:rsidR="00F63084">
        <w:t xml:space="preserve"> </w:t>
      </w:r>
    </w:p>
    <w:p w14:paraId="1EB752D4" w14:textId="77777777" w:rsidR="0096176F" w:rsidRDefault="00E83383" w:rsidP="00D627FD">
      <w:pPr>
        <w:spacing w:after="60"/>
        <w:ind w:firstLine="284"/>
        <w:jc w:val="both"/>
      </w:pPr>
      <w:r>
        <w:t xml:space="preserve">Formally, </w:t>
      </w: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δ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1</m:t>
            </m:r>
          </m:sub>
        </m:sSub>
      </m:oMath>
      <w:r w:rsidR="00ED3F53">
        <w:rPr>
          <w:vertAlign w:val="subscript"/>
        </w:rPr>
        <w:t xml:space="preserve"> </w:t>
      </w:r>
      <w:r>
        <w:t>is given by the following difference in difference</w:t>
      </w:r>
      <w:r w:rsidR="00B83C8E">
        <w:t>s</w:t>
      </w:r>
      <w:r>
        <w:t xml:space="preserve">: </w:t>
      </w:r>
    </w:p>
    <w:p w14:paraId="37EF892E" w14:textId="77777777" w:rsidR="00BF7895" w:rsidRPr="00BF7895" w:rsidRDefault="00FC20B5" w:rsidP="0096176F">
      <w:pPr>
        <w:jc w:val="bot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y|x,S=1,T=0</m:t>
                  </m:r>
                </m:e>
              </m:d>
              <m:r>
                <w:rPr>
                  <w:rFonts w:ascii="Cambria Math" w:hAnsi="Cambria Math"/>
                </w:rPr>
                <m:t>- 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y|x,S=0,T=0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 xml:space="preserve">- </m:t>
          </m:r>
        </m:oMath>
      </m:oMathPara>
    </w:p>
    <w:p w14:paraId="7B6E6E44" w14:textId="77777777" w:rsidR="00ED3F53" w:rsidRDefault="00BF7895" w:rsidP="00D627FD">
      <w:pPr>
        <w:spacing w:after="60"/>
        <w:jc w:val="center"/>
      </w:pPr>
      <w:r>
        <w:t xml:space="preserve">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y|x,S=1,T=1</m:t>
                </m:r>
              </m:e>
            </m:d>
            <m:r>
              <w:rPr>
                <w:rFonts w:ascii="Cambria Math" w:hAnsi="Cambria Math"/>
              </w:rPr>
              <m:t>-E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y|x,S=0,T=1</m:t>
                </m:r>
              </m:e>
            </m:d>
          </m:e>
        </m:d>
        <m:r>
          <w:rPr>
            <w:rFonts w:ascii="Cambria Math" w:eastAsiaTheme="minorEastAsia" w:hAnsi="Cambria Math"/>
          </w:rPr>
          <m:t xml:space="preserve">                          (2)</m:t>
        </m:r>
      </m:oMath>
    </w:p>
    <w:p w14:paraId="67CE76C8" w14:textId="5C428D21" w:rsidR="00F63084" w:rsidRPr="00032734" w:rsidRDefault="00BF7895" w:rsidP="00D627FD">
      <w:pPr>
        <w:spacing w:after="60"/>
        <w:jc w:val="both"/>
      </w:pPr>
      <w:r>
        <w:t xml:space="preserve">    </w:t>
      </w:r>
      <w:r w:rsidR="007F7AC5">
        <w:t xml:space="preserve">Let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S,T</m:t>
            </m:r>
          </m:sub>
        </m:sSub>
      </m:oMath>
      <w:r w:rsidR="009A70D3">
        <w:t xml:space="preserve"> </w:t>
      </w:r>
      <w:r w:rsidR="007F7AC5">
        <w:t>be the average of the outcome variable</w:t>
      </w:r>
      <w:r w:rsidR="0033676B">
        <w:t xml:space="preserve"> </w:t>
      </w:r>
      <w:r w:rsidR="007F7AC5">
        <w:t xml:space="preserve">in the group of regions </w:t>
      </w:r>
      <w:r w:rsidR="007F7AC5" w:rsidRPr="007F7AC5">
        <w:rPr>
          <w:i/>
        </w:rPr>
        <w:t>S</w:t>
      </w:r>
      <w:r w:rsidR="007F7AC5">
        <w:t xml:space="preserve"> at time </w:t>
      </w:r>
      <w:r w:rsidR="007F7AC5" w:rsidRPr="007F7AC5">
        <w:rPr>
          <w:i/>
        </w:rPr>
        <w:t>T</w:t>
      </w:r>
      <w:r w:rsidR="007F7AC5">
        <w:t>, the</w:t>
      </w:r>
      <w:r w:rsidR="00977BEE">
        <w:t xml:space="preserve"> estimation of the treatment effect (</w:t>
      </w:r>
      <w:r w:rsidR="00F63084">
        <w:t>diff-in-diff</w:t>
      </w:r>
      <w:r w:rsidR="00977BEE">
        <w:t>)</w:t>
      </w:r>
      <w:r w:rsidR="00F63084">
        <w:t xml:space="preserve"> is</w:t>
      </w:r>
      <w:r w:rsidR="00977BEE">
        <w:t>:</w:t>
      </w:r>
    </w:p>
    <w:p w14:paraId="4EB956CC" w14:textId="002D1B29" w:rsidR="00CF6327" w:rsidRPr="001A7585" w:rsidRDefault="0096176F" w:rsidP="00D627FD">
      <w:pPr>
        <w:spacing w:after="60"/>
        <w:jc w:val="both"/>
      </w:pPr>
      <w:r w:rsidRPr="00E617A8">
        <w:t xml:space="preserve">         </w:t>
      </w:r>
      <w:r w:rsidR="00621B85">
        <w:t xml:space="preserve">   </w:t>
      </w:r>
      <w:r w:rsidR="00774AD9">
        <w:t xml:space="preserve">      </w:t>
      </w:r>
      <w:r w:rsidR="00FA5F1D">
        <w:t xml:space="preserve">     </w:t>
      </w:r>
      <w:r w:rsidR="00621B85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δ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1,0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0,0</m:t>
                </m:r>
              </m:sub>
            </m:sSub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1,1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0,1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∆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acc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∆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acc>
          </m:sup>
        </m:sSubSup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           </m:t>
        </m:r>
        <m:r>
          <w:rPr>
            <w:rFonts w:ascii="Cambria Math" w:eastAsiaTheme="minorEastAsia" w:hAnsi="Cambria Math"/>
          </w:rPr>
          <m:t xml:space="preserve">                 (3)</m:t>
        </m:r>
      </m:oMath>
    </w:p>
    <w:p w14:paraId="3B00D3C2" w14:textId="646D97C7" w:rsidR="006C1778" w:rsidRDefault="00C44EBF" w:rsidP="006C1778">
      <w:pPr>
        <w:ind w:firstLine="284"/>
        <w:jc w:val="both"/>
      </w:pPr>
      <w:r>
        <w:t xml:space="preserve">Thus,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∆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acc>
          </m:sup>
        </m:sSubSup>
      </m:oMath>
      <w:r w:rsidR="00CF6327">
        <w:t xml:space="preserve"> </w:t>
      </w:r>
      <w:r w:rsidR="001E411A">
        <w:t>is</w:t>
      </w:r>
      <w:r w:rsidR="00CF6327">
        <w:t xml:space="preserve"> the difference </w:t>
      </w:r>
      <w:r w:rsidR="0066101B">
        <w:t>of</w:t>
      </w:r>
      <w:r w:rsidR="00CF6327">
        <w:t xml:space="preserve"> the </w:t>
      </w:r>
      <w:r w:rsidR="0066101B">
        <w:t>averages</w:t>
      </w:r>
      <w:r w:rsidR="00CF6327">
        <w:t xml:space="preserve"> of </w:t>
      </w:r>
      <w:r>
        <w:t xml:space="preserve">the outcome variable </w:t>
      </w:r>
      <w:r w:rsidR="00F47CA8" w:rsidRPr="00FE1F98">
        <w:rPr>
          <w:i/>
        </w:rPr>
        <w:t>before</w:t>
      </w:r>
      <w:r w:rsidR="00F47CA8">
        <w:t xml:space="preserve"> the EU funding between </w:t>
      </w:r>
      <w:r w:rsidR="00B34945">
        <w:t xml:space="preserve">recipient </w:t>
      </w:r>
      <w:r w:rsidR="0027628B" w:rsidRPr="00FE1F98">
        <w:t>and</w:t>
      </w:r>
      <w:r w:rsidR="0027628B">
        <w:rPr>
          <w:i/>
        </w:rPr>
        <w:t xml:space="preserve"> </w:t>
      </w:r>
      <w:r w:rsidR="0027628B" w:rsidRPr="00FE1F98">
        <w:t>control</w:t>
      </w:r>
      <w:r w:rsidR="0027628B">
        <w:rPr>
          <w:i/>
        </w:rPr>
        <w:t xml:space="preserve"> </w:t>
      </w:r>
      <w:r w:rsidR="00CF6327">
        <w:t>regions</w:t>
      </w:r>
      <w:r w:rsidR="000573DE">
        <w:t xml:space="preserve">, and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∆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acc>
          </m:sup>
        </m:sSubSup>
      </m:oMath>
      <w:r w:rsidR="00CF6327">
        <w:t xml:space="preserve"> is the difference </w:t>
      </w:r>
      <w:r w:rsidR="0066101B">
        <w:t>of</w:t>
      </w:r>
      <w:r w:rsidR="00CF6327">
        <w:t xml:space="preserve"> the average</w:t>
      </w:r>
      <w:r w:rsidR="0066101B">
        <w:t>s</w:t>
      </w:r>
      <w:r w:rsidR="00CF6327">
        <w:t xml:space="preserve"> </w:t>
      </w:r>
      <w:r w:rsidR="00FE1F98">
        <w:rPr>
          <w:i/>
        </w:rPr>
        <w:t xml:space="preserve">after </w:t>
      </w:r>
      <w:r w:rsidR="00FE1F98">
        <w:t xml:space="preserve">the EU funding between </w:t>
      </w:r>
      <w:r w:rsidR="00B34945">
        <w:t>recipient</w:t>
      </w:r>
      <w:r w:rsidR="0027628B">
        <w:t xml:space="preserve"> </w:t>
      </w:r>
      <w:r w:rsidR="0027628B" w:rsidRPr="00FE1F98">
        <w:t>and</w:t>
      </w:r>
      <w:r w:rsidR="0027628B">
        <w:rPr>
          <w:i/>
        </w:rPr>
        <w:t xml:space="preserve"> </w:t>
      </w:r>
      <w:r w:rsidR="0027628B" w:rsidRPr="00FE1F98">
        <w:t>control</w:t>
      </w:r>
      <w:r w:rsidR="0027628B">
        <w:rPr>
          <w:i/>
        </w:rPr>
        <w:t xml:space="preserve"> </w:t>
      </w:r>
      <w:r w:rsidR="00FE1F98">
        <w:t>regions</w:t>
      </w:r>
      <w:r w:rsidR="00CF6327">
        <w:t xml:space="preserve">. </w:t>
      </w:r>
    </w:p>
    <w:p w14:paraId="29C89484" w14:textId="6F50D568" w:rsidR="0050644B" w:rsidRDefault="000573DE" w:rsidP="006C1778">
      <w:pPr>
        <w:ind w:firstLine="284"/>
        <w:jc w:val="both"/>
      </w:pPr>
      <w:r>
        <w:t>The</w:t>
      </w:r>
      <w:r w:rsidR="009D723C">
        <w:t xml:space="preserve"> </w:t>
      </w:r>
      <w:proofErr w:type="gramStart"/>
      <w:r w:rsidR="009D723C">
        <w:t>DiD</w:t>
      </w:r>
      <w:proofErr w:type="gramEnd"/>
      <w:r w:rsidR="009D723C">
        <w:t xml:space="preserve"> model </w:t>
      </w:r>
      <w:r w:rsidR="00ED4312">
        <w:t>require</w:t>
      </w:r>
      <w:r w:rsidR="00D83FFB">
        <w:t>s</w:t>
      </w:r>
      <w:r w:rsidR="00ED4312">
        <w:t xml:space="preserve"> that </w:t>
      </w:r>
      <w:r w:rsidR="009D723C">
        <w:t xml:space="preserve">the assumption of </w:t>
      </w:r>
      <w:r w:rsidR="0051620B">
        <w:t>parallel paths</w:t>
      </w:r>
      <w:r w:rsidR="00ED4312">
        <w:t xml:space="preserve"> is satisfied. It </w:t>
      </w:r>
      <w:r w:rsidR="0051620B">
        <w:t xml:space="preserve">postulates that </w:t>
      </w:r>
      <w:r w:rsidR="00904C4E">
        <w:t>the average change in the</w:t>
      </w:r>
      <w:r w:rsidR="00721030">
        <w:t xml:space="preserve"> </w:t>
      </w:r>
      <w:r w:rsidR="00904C4E">
        <w:t>control</w:t>
      </w:r>
      <w:r w:rsidR="005912F5">
        <w:t xml:space="preserve"> group </w:t>
      </w:r>
      <w:r w:rsidR="00904C4E">
        <w:t>represents the co</w:t>
      </w:r>
      <w:r w:rsidR="00852DE6">
        <w:t xml:space="preserve">unterfactual change in the treated </w:t>
      </w:r>
      <w:r w:rsidR="00904C4E">
        <w:t>group if there w</w:t>
      </w:r>
      <w:r w:rsidR="0053547A">
        <w:t>as</w:t>
      </w:r>
      <w:r w:rsidR="00904C4E">
        <w:t xml:space="preserve"> no treatment</w:t>
      </w:r>
      <w:r w:rsidR="0050644B">
        <w:t>. In other words, without treatment</w:t>
      </w:r>
      <w:r w:rsidR="005912F5">
        <w:t>,</w:t>
      </w:r>
      <w:r w:rsidR="0050644B">
        <w:t xml:space="preserve"> the average change for the treated would have been equal to the observed average change for the control</w:t>
      </w:r>
      <w:r w:rsidR="005912F5">
        <w:t>s</w:t>
      </w:r>
      <w:r w:rsidR="00453330">
        <w:t xml:space="preserve"> (</w:t>
      </w:r>
      <w:r w:rsidR="005912F5">
        <w:t>for details, see</w:t>
      </w:r>
      <w:r w:rsidR="00453330">
        <w:t xml:space="preserve"> </w:t>
      </w:r>
      <w:r w:rsidR="00E04DEE">
        <w:t>[1</w:t>
      </w:r>
      <w:r w:rsidR="009E76C0">
        <w:t>4</w:t>
      </w:r>
      <w:r w:rsidR="00E04DEE">
        <w:t>]</w:t>
      </w:r>
      <w:r w:rsidR="00453330">
        <w:t>)</w:t>
      </w:r>
      <w:r w:rsidR="00904C4E">
        <w:t>.</w:t>
      </w:r>
      <w:r w:rsidR="0050644B">
        <w:t xml:space="preserve">  </w:t>
      </w:r>
    </w:p>
    <w:p w14:paraId="0EF65A08" w14:textId="63713DD2" w:rsidR="00927E13" w:rsidRDefault="00927E13" w:rsidP="00927E13">
      <w:pPr>
        <w:ind w:firstLine="284"/>
        <w:jc w:val="both"/>
      </w:pPr>
      <w:r>
        <w:t>Our analysis draws upon official data from Eurostat, Istat, and SIEPI</w:t>
      </w:r>
      <w:r>
        <w:rPr>
          <w:rStyle w:val="Rimandonotaapidipagina"/>
        </w:rPr>
        <w:footnoteReference w:id="4"/>
      </w:r>
      <w:r>
        <w:t>. The data, which are related to NUTS2 regions, cover a seventeen-year period, spanning from 2000 to 2016.</w:t>
      </w:r>
      <w:r w:rsidR="001E411A">
        <w:t xml:space="preserve"> </w:t>
      </w:r>
      <w:r w:rsidR="00D1410F">
        <w:t>The outcome variable</w:t>
      </w:r>
      <w:r w:rsidR="00C44EBF">
        <w:t>, the Total Employment Rate (</w:t>
      </w:r>
      <w:r w:rsidR="001E411A">
        <w:t>EMRT</w:t>
      </w:r>
      <w:r w:rsidR="00C44EBF">
        <w:t>)</w:t>
      </w:r>
      <w:r w:rsidR="00D1410F">
        <w:t xml:space="preserve">, </w:t>
      </w:r>
      <w:r w:rsidR="001E411A">
        <w:t xml:space="preserve">is the </w:t>
      </w:r>
      <w:r w:rsidR="0066101B">
        <w:t>percentage</w:t>
      </w:r>
      <w:r w:rsidRPr="00FD40EA">
        <w:t xml:space="preserve"> of employed</w:t>
      </w:r>
      <w:r>
        <w:t xml:space="preserve"> </w:t>
      </w:r>
      <w:r w:rsidR="00971D45">
        <w:t xml:space="preserve">persons </w:t>
      </w:r>
      <w:r>
        <w:t>aged 20-64</w:t>
      </w:r>
      <w:r w:rsidR="00971D45">
        <w:t xml:space="preserve"> in relation to the working-age population.</w:t>
      </w:r>
      <w:r w:rsidR="001E411A">
        <w:t xml:space="preserve"> </w:t>
      </w:r>
      <w:r w:rsidR="00FB1537">
        <w:t>The covariates are</w:t>
      </w:r>
      <w:r w:rsidR="001E411A">
        <w:t xml:space="preserve">: </w:t>
      </w:r>
      <w:r w:rsidR="001E411A" w:rsidRPr="00505940">
        <w:rPr>
          <w:i/>
        </w:rPr>
        <w:t>i</w:t>
      </w:r>
      <w:r w:rsidR="001E411A">
        <w:t xml:space="preserve">) </w:t>
      </w:r>
      <w:r>
        <w:t xml:space="preserve">Total Population by Educational Attainment Level (PEALT), which </w:t>
      </w:r>
      <w:r w:rsidR="00FB1537">
        <w:t>represents t</w:t>
      </w:r>
      <w:r>
        <w:t xml:space="preserve">he </w:t>
      </w:r>
      <w:r w:rsidR="0066101B">
        <w:t>share</w:t>
      </w:r>
      <w:r w:rsidR="00FB1537">
        <w:t xml:space="preserve"> </w:t>
      </w:r>
      <w:r>
        <w:t>of the total population with tertiary education (ISCED 5-8)</w:t>
      </w:r>
      <w:r w:rsidR="001E411A">
        <w:t xml:space="preserve">; </w:t>
      </w:r>
      <w:r w:rsidR="001E411A" w:rsidRPr="00505940">
        <w:rPr>
          <w:i/>
        </w:rPr>
        <w:t>ii</w:t>
      </w:r>
      <w:r w:rsidR="001E411A">
        <w:t>)</w:t>
      </w:r>
      <w:r>
        <w:t xml:space="preserve"> Active Labour Market Policies (ALMP)</w:t>
      </w:r>
      <w:r w:rsidR="00FB1537">
        <w:t>,</w:t>
      </w:r>
      <w:r>
        <w:t xml:space="preserve"> expressed as </w:t>
      </w:r>
      <w:r w:rsidR="001E411A">
        <w:t xml:space="preserve">the </w:t>
      </w:r>
      <w:r>
        <w:t>average annual number of beneficiaries of active policies</w:t>
      </w:r>
      <w:r w:rsidR="001E411A">
        <w:t xml:space="preserve">; </w:t>
      </w:r>
      <w:r w:rsidR="001E411A" w:rsidRPr="00505940">
        <w:rPr>
          <w:i/>
        </w:rPr>
        <w:t>iii</w:t>
      </w:r>
      <w:r w:rsidR="001E411A">
        <w:t>)</w:t>
      </w:r>
      <w:r>
        <w:t xml:space="preserve"> </w:t>
      </w:r>
      <w:r w:rsidR="001E411A">
        <w:t>per capita Gross Domestic Product (</w:t>
      </w:r>
      <w:r w:rsidR="00C1270B">
        <w:t xml:space="preserve">per capita </w:t>
      </w:r>
      <w:r w:rsidR="001E411A">
        <w:t xml:space="preserve">GDP); </w:t>
      </w:r>
      <w:r w:rsidR="001E411A" w:rsidRPr="00505940">
        <w:rPr>
          <w:i/>
        </w:rPr>
        <w:t>iv</w:t>
      </w:r>
      <w:r w:rsidR="001E411A">
        <w:t xml:space="preserve">) </w:t>
      </w:r>
      <w:r w:rsidR="00505940">
        <w:t xml:space="preserve">Total </w:t>
      </w:r>
      <w:r w:rsidR="001E411A">
        <w:t>Early Leavers from Education and Training (ELETT)</w:t>
      </w:r>
      <w:r w:rsidR="00505940">
        <w:t xml:space="preserve">, which is the share of 18 to 24 year olds having attained ISCED 0-2 </w:t>
      </w:r>
      <w:r w:rsidR="00C1270B">
        <w:t xml:space="preserve">level </w:t>
      </w:r>
      <w:r w:rsidR="00505940">
        <w:t xml:space="preserve">and not receiving any formal or non-formal education or training; </w:t>
      </w:r>
      <w:r w:rsidR="00505940" w:rsidRPr="00505940">
        <w:rPr>
          <w:i/>
        </w:rPr>
        <w:t>v</w:t>
      </w:r>
      <w:r w:rsidR="00505940">
        <w:t xml:space="preserve">) </w:t>
      </w:r>
      <w:r w:rsidR="00FB1537">
        <w:t>People at-</w:t>
      </w:r>
      <w:r w:rsidR="00505940">
        <w:t>Risk</w:t>
      </w:r>
      <w:r w:rsidR="00FB1537">
        <w:t>-</w:t>
      </w:r>
      <w:r w:rsidR="00505940">
        <w:t>of</w:t>
      </w:r>
      <w:r w:rsidR="00FB1537">
        <w:t>-</w:t>
      </w:r>
      <w:r w:rsidR="00505940">
        <w:t>Pove</w:t>
      </w:r>
      <w:r w:rsidR="00FB1537">
        <w:t xml:space="preserve">rty or Social Exclusion (PRPSE), which is the </w:t>
      </w:r>
      <w:r w:rsidR="0066101B">
        <w:t>percentage</w:t>
      </w:r>
      <w:r w:rsidR="00FB1537">
        <w:t xml:space="preserve"> of the total population below either the poverty </w:t>
      </w:r>
      <w:r w:rsidR="00435EB1">
        <w:t xml:space="preserve">threshold </w:t>
      </w:r>
      <w:r w:rsidR="00FB1537">
        <w:t xml:space="preserve">(60% of the national median </w:t>
      </w:r>
      <w:r w:rsidR="00FB1537" w:rsidRPr="00FB1537">
        <w:t>equivalised disposable income after </w:t>
      </w:r>
      <w:hyperlink r:id="rId9" w:history="1">
        <w:r w:rsidR="00FB1537" w:rsidRPr="00FB1537">
          <w:t>social transfers</w:t>
        </w:r>
      </w:hyperlink>
      <w:r w:rsidR="00FB1537">
        <w:t>)</w:t>
      </w:r>
      <w:r w:rsidR="00FB1537" w:rsidRPr="00FB1537">
        <w:t xml:space="preserve"> or </w:t>
      </w:r>
      <w:hyperlink r:id="rId10" w:history="1">
        <w:r w:rsidR="00FB1537" w:rsidRPr="00FB1537">
          <w:t>severely materially deprived</w:t>
        </w:r>
      </w:hyperlink>
      <w:r w:rsidR="00FB1537">
        <w:t xml:space="preserve"> </w:t>
      </w:r>
      <w:r w:rsidR="00FB1537" w:rsidRPr="00FB1537">
        <w:t>or </w:t>
      </w:r>
      <w:hyperlink r:id="rId11" w:history="1">
        <w:r w:rsidR="00FB1537" w:rsidRPr="00FB1537">
          <w:t>living in a household with a very low work intensity</w:t>
        </w:r>
      </w:hyperlink>
      <w:r w:rsidR="00435EB1">
        <w:t xml:space="preserve">; </w:t>
      </w:r>
      <w:r w:rsidR="00435EB1" w:rsidRPr="00435EB1">
        <w:rPr>
          <w:i/>
        </w:rPr>
        <w:t>vi</w:t>
      </w:r>
      <w:r w:rsidR="00435EB1">
        <w:t xml:space="preserve">) </w:t>
      </w:r>
      <w:r>
        <w:t xml:space="preserve">five dimensions of the </w:t>
      </w:r>
      <w:r w:rsidR="00435EB1">
        <w:t>I</w:t>
      </w:r>
      <w:r>
        <w:t xml:space="preserve">nstitutional </w:t>
      </w:r>
      <w:r w:rsidR="00435EB1">
        <w:t>Q</w:t>
      </w:r>
      <w:r>
        <w:t>uality</w:t>
      </w:r>
      <w:r w:rsidR="00435EB1">
        <w:t xml:space="preserve"> Index (IQI), which are Corruption, Government </w:t>
      </w:r>
      <w:r w:rsidR="00C90315">
        <w:t>e</w:t>
      </w:r>
      <w:r w:rsidR="00435EB1">
        <w:t xml:space="preserve">ffectiveness, Regulatory </w:t>
      </w:r>
      <w:r w:rsidR="00C90315">
        <w:t>q</w:t>
      </w:r>
      <w:r w:rsidR="00435EB1">
        <w:t xml:space="preserve">uality, Rule of </w:t>
      </w:r>
      <w:r w:rsidR="00C90315">
        <w:t>l</w:t>
      </w:r>
      <w:r w:rsidR="00435EB1">
        <w:t xml:space="preserve">aw, Voice and </w:t>
      </w:r>
      <w:r w:rsidR="00C90315">
        <w:t>a</w:t>
      </w:r>
      <w:r w:rsidRPr="00C663BB">
        <w:t>ccountability</w:t>
      </w:r>
      <w:r>
        <w:t xml:space="preserve">. </w:t>
      </w:r>
      <w:r w:rsidR="0066101B">
        <w:t>More s</w:t>
      </w:r>
      <w:r w:rsidR="00CD357C">
        <w:t>pecifically</w:t>
      </w:r>
      <w:r w:rsidR="00435EB1">
        <w:t xml:space="preserve">, </w:t>
      </w:r>
      <w:r w:rsidR="00C90315">
        <w:t>C</w:t>
      </w:r>
      <w:r w:rsidR="00C90315" w:rsidRPr="00877AD0">
        <w:t>orruption measures the degree of corruption of those performing public functions and crimes against the public administration</w:t>
      </w:r>
      <w:r w:rsidR="00C90315">
        <w:t>; Go</w:t>
      </w:r>
      <w:r w:rsidR="00C90315" w:rsidRPr="00877AD0">
        <w:t xml:space="preserve">vernment </w:t>
      </w:r>
      <w:r w:rsidR="00C90315">
        <w:t>e</w:t>
      </w:r>
      <w:r w:rsidR="00C90315" w:rsidRPr="00877AD0">
        <w:t xml:space="preserve">ffectiveness evaluates the quality of public service and the policies </w:t>
      </w:r>
      <w:r w:rsidR="00C90315">
        <w:t>of local government</w:t>
      </w:r>
      <w:r w:rsidR="0074279B">
        <w:t>s</w:t>
      </w:r>
      <w:r w:rsidR="00C90315">
        <w:t>; R</w:t>
      </w:r>
      <w:r w:rsidR="00C90315" w:rsidRPr="00877AD0">
        <w:t xml:space="preserve">egulatory </w:t>
      </w:r>
      <w:r w:rsidR="00C90315">
        <w:t>Q</w:t>
      </w:r>
      <w:r w:rsidR="00C90315" w:rsidRPr="00877AD0">
        <w:t xml:space="preserve">uality measures the ability of </w:t>
      </w:r>
      <w:r w:rsidR="00C90315">
        <w:t>g</w:t>
      </w:r>
      <w:r w:rsidR="00C90315" w:rsidRPr="00877AD0">
        <w:t>overnment to promote and formulate eff</w:t>
      </w:r>
      <w:r w:rsidR="00C90315">
        <w:t>ective regulatory interventions; R</w:t>
      </w:r>
      <w:r w:rsidR="00C90315" w:rsidRPr="00877AD0">
        <w:t xml:space="preserve">ule of </w:t>
      </w:r>
      <w:r w:rsidR="00C90315">
        <w:t>l</w:t>
      </w:r>
      <w:r w:rsidR="00C90315" w:rsidRPr="00877AD0">
        <w:t>aw quantifies the crime levels, shadow economy, police for</w:t>
      </w:r>
      <w:r w:rsidR="00C90315">
        <w:t xml:space="preserve">ce, and magistrate productivity; </w:t>
      </w:r>
      <w:r w:rsidR="00435EB1">
        <w:t>V</w:t>
      </w:r>
      <w:r w:rsidRPr="00877AD0">
        <w:t xml:space="preserve">oice and </w:t>
      </w:r>
      <w:r w:rsidR="00C90315">
        <w:t>a</w:t>
      </w:r>
      <w:r w:rsidRPr="00877AD0">
        <w:t xml:space="preserve">ccountability </w:t>
      </w:r>
      <w:r w:rsidR="00C90315">
        <w:t>assesses</w:t>
      </w:r>
      <w:r w:rsidRPr="00877AD0">
        <w:t xml:space="preserve"> the degree of freed</w:t>
      </w:r>
      <w:r>
        <w:t>o</w:t>
      </w:r>
      <w:r w:rsidR="00435EB1">
        <w:t xml:space="preserve">m of the press and association </w:t>
      </w:r>
      <w:r w:rsidR="00BD6E89">
        <w:t>[15]</w:t>
      </w:r>
      <w:r w:rsidRPr="00B77171">
        <w:t>.</w:t>
      </w:r>
    </w:p>
    <w:p w14:paraId="1BE8A2BA" w14:textId="77777777" w:rsidR="00597383" w:rsidRPr="00032734" w:rsidRDefault="00597383" w:rsidP="00597383">
      <w:pPr>
        <w:pStyle w:val="SectionHeading"/>
        <w:numPr>
          <w:ilvl w:val="0"/>
          <w:numId w:val="8"/>
        </w:numPr>
        <w:tabs>
          <w:tab w:val="left" w:pos="284"/>
        </w:tabs>
        <w:ind w:hanging="644"/>
        <w:rPr>
          <w:lang w:val="en-GB"/>
        </w:rPr>
      </w:pPr>
      <w:r>
        <w:rPr>
          <w:lang w:val="en-GB"/>
        </w:rPr>
        <w:lastRenderedPageBreak/>
        <w:t xml:space="preserve">Empirical findings </w:t>
      </w:r>
    </w:p>
    <w:p w14:paraId="46B7676D" w14:textId="576614ED" w:rsidR="008E4876" w:rsidRDefault="008E4876" w:rsidP="008E4876">
      <w:pPr>
        <w:suppressAutoHyphens w:val="0"/>
        <w:autoSpaceDE w:val="0"/>
        <w:autoSpaceDN w:val="0"/>
        <w:adjustRightInd w:val="0"/>
        <w:jc w:val="both"/>
      </w:pPr>
      <w:r>
        <w:t xml:space="preserve">We analyse </w:t>
      </w:r>
      <w:r w:rsidR="007D4B01">
        <w:t>the role o</w:t>
      </w:r>
      <w:r>
        <w:t xml:space="preserve">f </w:t>
      </w:r>
      <w:r w:rsidR="00A370D0">
        <w:t xml:space="preserve">the EU funding </w:t>
      </w:r>
      <w:r w:rsidR="007D4B01">
        <w:t xml:space="preserve">in fostering homogeneity in employment across </w:t>
      </w:r>
      <w:r w:rsidR="00A370D0">
        <w:t>NUTS2 regions</w:t>
      </w:r>
      <w:r w:rsidR="007D4B01">
        <w:t xml:space="preserve"> within countr</w:t>
      </w:r>
      <w:r w:rsidR="00790E61">
        <w:t>ies</w:t>
      </w:r>
      <w:r w:rsidR="00A370D0">
        <w:t xml:space="preserve">. </w:t>
      </w:r>
      <w:r>
        <w:t xml:space="preserve">Once </w:t>
      </w:r>
      <w:r w:rsidR="00A370D0">
        <w:t>the treated group</w:t>
      </w:r>
      <w:r w:rsidR="0054306D">
        <w:t xml:space="preserve"> </w:t>
      </w:r>
      <w:r w:rsidR="00453330">
        <w:t>(</w:t>
      </w:r>
      <w:r>
        <w:t>region</w:t>
      </w:r>
      <w:r w:rsidR="00A370D0">
        <w:t>s</w:t>
      </w:r>
      <w:r>
        <w:t xml:space="preserve"> exposed to convergence objective</w:t>
      </w:r>
      <w:r w:rsidR="00453330">
        <w:t>)</w:t>
      </w:r>
      <w:r w:rsidR="0054306D">
        <w:t xml:space="preserve"> </w:t>
      </w:r>
      <w:r>
        <w:t>and the control group</w:t>
      </w:r>
      <w:r w:rsidR="0054306D">
        <w:t xml:space="preserve"> </w:t>
      </w:r>
      <w:r w:rsidR="00453330">
        <w:t>(</w:t>
      </w:r>
      <w:r>
        <w:t>regions not included in the objective</w:t>
      </w:r>
      <w:r w:rsidR="00453330">
        <w:t>)</w:t>
      </w:r>
      <w:r w:rsidR="0054306D">
        <w:t xml:space="preserve"> are defined, </w:t>
      </w:r>
      <w:r>
        <w:t xml:space="preserve">we </w:t>
      </w:r>
      <w:r w:rsidR="0054306D">
        <w:t xml:space="preserve">perform the </w:t>
      </w:r>
      <w:proofErr w:type="gramStart"/>
      <w:r>
        <w:t>DiD</w:t>
      </w:r>
      <w:proofErr w:type="gramEnd"/>
      <w:r>
        <w:t xml:space="preserve"> estimation</w:t>
      </w:r>
      <w:r w:rsidR="0054306D">
        <w:t xml:space="preserve">s. In doing so, </w:t>
      </w:r>
      <w:r>
        <w:t>we compare the average employment rate</w:t>
      </w:r>
      <w:r w:rsidR="00453330">
        <w:t>s</w:t>
      </w:r>
      <w:r>
        <w:t xml:space="preserve"> across the two groups </w:t>
      </w:r>
      <w:r w:rsidR="0054306D">
        <w:t xml:space="preserve">of regions </w:t>
      </w:r>
      <w:r>
        <w:t xml:space="preserve">before and after the </w:t>
      </w:r>
      <w:r w:rsidR="0054306D">
        <w:t>provision of EU fund</w:t>
      </w:r>
      <w:r w:rsidR="00A55F0E">
        <w:t>s</w:t>
      </w:r>
      <w:r w:rsidR="0054306D">
        <w:t>.</w:t>
      </w:r>
      <w:r>
        <w:t xml:space="preserve"> </w:t>
      </w:r>
      <w:r w:rsidR="004F59CE">
        <w:t xml:space="preserve">First, </w:t>
      </w:r>
      <w:r>
        <w:t xml:space="preserve">we test the effectiveness of the EU </w:t>
      </w:r>
      <w:r w:rsidR="004F59CE">
        <w:t xml:space="preserve">funding </w:t>
      </w:r>
      <w:r>
        <w:t xml:space="preserve">in </w:t>
      </w:r>
      <w:r w:rsidR="004F59CE">
        <w:t xml:space="preserve">10 </w:t>
      </w:r>
      <w:r>
        <w:t>E</w:t>
      </w:r>
      <w:r w:rsidR="00A55F0E">
        <w:t>U</w:t>
      </w:r>
      <w:r>
        <w:t xml:space="preserve"> countries</w:t>
      </w:r>
      <w:r w:rsidR="007B29A4">
        <w:rPr>
          <w:rStyle w:val="Rimandonotaapidipagina"/>
        </w:rPr>
        <w:footnoteReference w:id="5"/>
      </w:r>
      <w:r>
        <w:t xml:space="preserve"> </w:t>
      </w:r>
      <w:r w:rsidR="00AA05AB" w:rsidRPr="00295984">
        <w:t>for a total of</w:t>
      </w:r>
      <w:r w:rsidR="00295984" w:rsidRPr="00295984">
        <w:t xml:space="preserve"> 256 </w:t>
      </w:r>
      <w:r w:rsidR="00AA05AB" w:rsidRPr="00295984">
        <w:t xml:space="preserve">NUTS2 regions </w:t>
      </w:r>
      <w:r w:rsidR="00295984" w:rsidRPr="00295984">
        <w:t xml:space="preserve">(84 </w:t>
      </w:r>
      <w:r w:rsidR="00295984">
        <w:t xml:space="preserve">treated and </w:t>
      </w:r>
      <w:r w:rsidR="00295984" w:rsidRPr="00295984">
        <w:t xml:space="preserve">172 </w:t>
      </w:r>
      <w:r w:rsidR="00295984">
        <w:t xml:space="preserve">untreated) </w:t>
      </w:r>
      <w:r w:rsidR="004F59CE">
        <w:t xml:space="preserve">through </w:t>
      </w:r>
      <w:proofErr w:type="gramStart"/>
      <w:r w:rsidR="004F59CE">
        <w:t>DiD</w:t>
      </w:r>
      <w:proofErr w:type="gramEnd"/>
      <w:r w:rsidR="004F59CE">
        <w:t xml:space="preserve"> </w:t>
      </w:r>
      <w:r w:rsidR="004C5977">
        <w:t xml:space="preserve">null </w:t>
      </w:r>
      <w:r w:rsidR="004F59CE">
        <w:t xml:space="preserve">models </w:t>
      </w:r>
      <w:r>
        <w:t>(Section 4.1)</w:t>
      </w:r>
      <w:r w:rsidR="00AA05AB">
        <w:t xml:space="preserve">. Second, </w:t>
      </w:r>
      <w:r>
        <w:t>we estimat</w:t>
      </w:r>
      <w:r w:rsidR="004F59CE">
        <w:t>e</w:t>
      </w:r>
      <w:r>
        <w:t xml:space="preserve"> the </w:t>
      </w:r>
      <w:proofErr w:type="gramStart"/>
      <w:r>
        <w:t>DiD</w:t>
      </w:r>
      <w:proofErr w:type="gramEnd"/>
      <w:r>
        <w:t xml:space="preserve"> model </w:t>
      </w:r>
      <w:r w:rsidR="004C5977">
        <w:t xml:space="preserve">for </w:t>
      </w:r>
      <w:r w:rsidR="00881B3E">
        <w:t xml:space="preserve">Italian regions (5 treated and 16 untreated) </w:t>
      </w:r>
      <w:r w:rsidR="004C5977">
        <w:t xml:space="preserve">by controlling for a set of covariates </w:t>
      </w:r>
      <w:r>
        <w:t>(Section 4.2).</w:t>
      </w:r>
    </w:p>
    <w:p w14:paraId="0507A0BC" w14:textId="65510B13" w:rsidR="009F468D" w:rsidRPr="00F67C4D" w:rsidRDefault="00076DD4" w:rsidP="00F67C4D">
      <w:pPr>
        <w:pStyle w:val="Subsectionheading"/>
        <w:numPr>
          <w:ilvl w:val="1"/>
          <w:numId w:val="8"/>
        </w:numPr>
        <w:tabs>
          <w:tab w:val="left" w:pos="284"/>
        </w:tabs>
        <w:ind w:left="284" w:hanging="284"/>
      </w:pPr>
      <w:r>
        <w:t xml:space="preserve">The </w:t>
      </w:r>
      <w:r w:rsidR="00F67C4D">
        <w:t xml:space="preserve">European context </w:t>
      </w:r>
      <w:r w:rsidR="009F468D" w:rsidRPr="00F67C4D">
        <w:rPr>
          <w:lang w:val="en-GB"/>
        </w:rPr>
        <w:t xml:space="preserve"> </w:t>
      </w:r>
    </w:p>
    <w:p w14:paraId="10AE0180" w14:textId="238FA1EB" w:rsidR="008E4876" w:rsidRDefault="009F468D" w:rsidP="008E4876">
      <w:pPr>
        <w:suppressAutoHyphens w:val="0"/>
        <w:autoSpaceDE w:val="0"/>
        <w:autoSpaceDN w:val="0"/>
        <w:adjustRightInd w:val="0"/>
        <w:jc w:val="both"/>
      </w:pPr>
      <w:r>
        <w:t>B</w:t>
      </w:r>
      <w:r w:rsidR="008E4876">
        <w:t xml:space="preserve">efore </w:t>
      </w:r>
      <w:r w:rsidR="00902282">
        <w:t>assessing the</w:t>
      </w:r>
      <w:r w:rsidR="008E4876">
        <w:t xml:space="preserve"> effect of E</w:t>
      </w:r>
      <w:r w:rsidR="00902282">
        <w:t xml:space="preserve">U </w:t>
      </w:r>
      <w:r w:rsidR="008E4876">
        <w:t>f</w:t>
      </w:r>
      <w:r w:rsidR="00902282">
        <w:t>und</w:t>
      </w:r>
      <w:r w:rsidR="00AA05AB">
        <w:t>s</w:t>
      </w:r>
      <w:r w:rsidR="00CD749E">
        <w:t xml:space="preserve"> on the convergence objective, </w:t>
      </w:r>
      <w:r w:rsidR="008E4876">
        <w:t xml:space="preserve">we verify the </w:t>
      </w:r>
      <w:r w:rsidR="00CD749E">
        <w:t>parallel-path assumption</w:t>
      </w:r>
      <w:r w:rsidR="008E4876">
        <w:t xml:space="preserve"> </w:t>
      </w:r>
      <w:r w:rsidR="00CD749E">
        <w:t xml:space="preserve">by using the </w:t>
      </w:r>
      <w:proofErr w:type="spellStart"/>
      <w:r w:rsidR="00DB0DC9">
        <w:t>Mora&amp;Reggio’s</w:t>
      </w:r>
      <w:proofErr w:type="spellEnd"/>
      <w:r w:rsidR="00DB0DC9">
        <w:t xml:space="preserve"> </w:t>
      </w:r>
      <w:r w:rsidR="00CD749E">
        <w:t>approach</w:t>
      </w:r>
      <w:r w:rsidR="00BD6E89">
        <w:t xml:space="preserve"> [14]</w:t>
      </w:r>
      <w:r w:rsidR="00DB0DC9">
        <w:t xml:space="preserve">. It tests </w:t>
      </w:r>
      <w:r w:rsidR="00B60E87">
        <w:t>whether,</w:t>
      </w:r>
      <w:r w:rsidR="00CD749E">
        <w:t xml:space="preserve"> </w:t>
      </w:r>
      <w:r w:rsidR="008E4876">
        <w:t xml:space="preserve">in </w:t>
      </w:r>
      <w:r w:rsidR="00D07D8E">
        <w:t xml:space="preserve">the </w:t>
      </w:r>
      <w:r w:rsidR="008E4876">
        <w:t xml:space="preserve">absence of </w:t>
      </w:r>
      <w:r w:rsidR="00D83343">
        <w:t xml:space="preserve">the </w:t>
      </w:r>
      <w:r w:rsidR="00F32158">
        <w:t xml:space="preserve">EU </w:t>
      </w:r>
      <w:r w:rsidR="00D83343">
        <w:t>policy</w:t>
      </w:r>
      <w:r w:rsidR="00B60E87">
        <w:t>,</w:t>
      </w:r>
      <w:r w:rsidR="008E4876">
        <w:t xml:space="preserve"> </w:t>
      </w:r>
      <w:r w:rsidR="00D07D8E">
        <w:t xml:space="preserve">the </w:t>
      </w:r>
      <w:r w:rsidR="00A24038">
        <w:t xml:space="preserve">averaged EMRTs </w:t>
      </w:r>
      <w:r w:rsidR="00AA05AB">
        <w:t>of t</w:t>
      </w:r>
      <w:r w:rsidR="00DB0DC9">
        <w:t xml:space="preserve">he </w:t>
      </w:r>
      <w:r w:rsidR="00AA05AB">
        <w:t xml:space="preserve">two </w:t>
      </w:r>
      <w:r w:rsidR="007E7A25">
        <w:t xml:space="preserve">groups of </w:t>
      </w:r>
      <w:r w:rsidR="00D07D8E">
        <w:t xml:space="preserve">regions </w:t>
      </w:r>
      <w:r w:rsidR="008E4876">
        <w:t xml:space="preserve">follow the same trend. </w:t>
      </w:r>
      <w:r w:rsidR="00DE4DC3">
        <w:t xml:space="preserve">Based on our results, the parallel-trend assumption is met for each country </w:t>
      </w:r>
      <w:r w:rsidR="00C2738E">
        <w:t xml:space="preserve">covered </w:t>
      </w:r>
      <w:r w:rsidR="00C2738E" w:rsidRPr="00C2738E">
        <w:t>(</w:t>
      </w:r>
      <w:r w:rsidR="008E4876" w:rsidRPr="00C2738E">
        <w:t>Tables 1-2</w:t>
      </w:r>
      <w:r w:rsidR="00C2738E" w:rsidRPr="00C2738E">
        <w:t>)</w:t>
      </w:r>
      <w:r w:rsidR="00C2738E">
        <w:t xml:space="preserve">, which </w:t>
      </w:r>
      <w:r w:rsidR="000411C6">
        <w:t>means</w:t>
      </w:r>
      <w:r w:rsidR="00C2738E">
        <w:t xml:space="preserve"> that the group of </w:t>
      </w:r>
      <w:r w:rsidR="008E4876">
        <w:t xml:space="preserve">control regions </w:t>
      </w:r>
      <w:r w:rsidR="008F2197">
        <w:t xml:space="preserve">may be considered as a </w:t>
      </w:r>
      <w:r w:rsidR="008E4876">
        <w:t>suitable counterfactual</w:t>
      </w:r>
      <w:r w:rsidR="00C2738E">
        <w:t xml:space="preserve"> </w:t>
      </w:r>
      <w:r w:rsidR="008E4876">
        <w:t xml:space="preserve">for the </w:t>
      </w:r>
      <w:r w:rsidR="00C2738E">
        <w:t xml:space="preserve">group of </w:t>
      </w:r>
      <w:r w:rsidR="008E4876">
        <w:t xml:space="preserve">treated </w:t>
      </w:r>
      <w:r w:rsidR="00C2738E">
        <w:t>regions</w:t>
      </w:r>
      <w:r w:rsidR="008F2197">
        <w:rPr>
          <w:rStyle w:val="Rimandonotaapidipagina"/>
        </w:rPr>
        <w:footnoteReference w:id="6"/>
      </w:r>
      <w:r w:rsidR="008E4876">
        <w:t>.</w:t>
      </w:r>
      <w:r w:rsidR="00DE4DC3" w:rsidRPr="00DE4DC3">
        <w:t xml:space="preserve"> </w:t>
      </w:r>
    </w:p>
    <w:p w14:paraId="7E7C3DA0" w14:textId="77777777" w:rsidR="00DB62EF" w:rsidRDefault="00AA05AB" w:rsidP="00AA05AB">
      <w:pPr>
        <w:pStyle w:val="Maintext"/>
        <w:ind w:firstLine="284"/>
        <w:rPr>
          <w:sz w:val="20"/>
          <w:highlight w:val="yellow"/>
        </w:rPr>
      </w:pPr>
      <w:r w:rsidRPr="00422DCE">
        <w:rPr>
          <w:sz w:val="20"/>
        </w:rPr>
        <w:t xml:space="preserve">Tables 1-2 show the estimations of </w:t>
      </w:r>
      <w:proofErr w:type="gramStart"/>
      <w:r w:rsidRPr="00422DCE">
        <w:rPr>
          <w:sz w:val="20"/>
        </w:rPr>
        <w:t>DiD</w:t>
      </w:r>
      <w:proofErr w:type="gramEnd"/>
      <w:r w:rsidRPr="00422DCE">
        <w:rPr>
          <w:sz w:val="20"/>
        </w:rPr>
        <w:t xml:space="preserve"> models by country without controlling for covariates</w:t>
      </w:r>
      <w:r>
        <w:rPr>
          <w:sz w:val="20"/>
        </w:rPr>
        <w:t xml:space="preserve">. They allow us </w:t>
      </w:r>
      <w:r w:rsidRPr="001B5FF6">
        <w:rPr>
          <w:sz w:val="20"/>
        </w:rPr>
        <w:t xml:space="preserve">to evaluate exclusively the </w:t>
      </w:r>
      <w:r>
        <w:rPr>
          <w:sz w:val="20"/>
        </w:rPr>
        <w:t xml:space="preserve">differential effects </w:t>
      </w:r>
      <w:r w:rsidRPr="001B5FF6">
        <w:rPr>
          <w:sz w:val="20"/>
        </w:rPr>
        <w:t xml:space="preserve">of </w:t>
      </w:r>
      <w:r>
        <w:rPr>
          <w:sz w:val="20"/>
        </w:rPr>
        <w:t xml:space="preserve">EU </w:t>
      </w:r>
      <w:r w:rsidRPr="001B5FF6">
        <w:rPr>
          <w:sz w:val="20"/>
        </w:rPr>
        <w:t>fund</w:t>
      </w:r>
      <w:r>
        <w:rPr>
          <w:sz w:val="20"/>
        </w:rPr>
        <w:t xml:space="preserve">s </w:t>
      </w:r>
      <w:r w:rsidRPr="001B5FF6">
        <w:rPr>
          <w:sz w:val="20"/>
        </w:rPr>
        <w:t xml:space="preserve">on </w:t>
      </w:r>
      <w:r w:rsidR="004F34AC">
        <w:rPr>
          <w:sz w:val="20"/>
        </w:rPr>
        <w:t>EMRTs</w:t>
      </w:r>
      <w:r w:rsidR="005A38BC">
        <w:rPr>
          <w:sz w:val="20"/>
        </w:rPr>
        <w:t xml:space="preserve"> </w:t>
      </w:r>
      <w:r w:rsidR="00D83343">
        <w:rPr>
          <w:sz w:val="20"/>
        </w:rPr>
        <w:t>between</w:t>
      </w:r>
      <w:r>
        <w:rPr>
          <w:sz w:val="20"/>
        </w:rPr>
        <w:t xml:space="preserve"> the treated </w:t>
      </w:r>
      <w:r w:rsidR="00D83343">
        <w:rPr>
          <w:sz w:val="20"/>
        </w:rPr>
        <w:t xml:space="preserve">and untreated </w:t>
      </w:r>
      <w:r>
        <w:rPr>
          <w:sz w:val="20"/>
        </w:rPr>
        <w:t>regions</w:t>
      </w:r>
      <w:r w:rsidR="00D83343">
        <w:rPr>
          <w:sz w:val="20"/>
        </w:rPr>
        <w:t xml:space="preserve">. </w:t>
      </w:r>
      <w:r w:rsidRPr="001B5FF6">
        <w:rPr>
          <w:sz w:val="20"/>
        </w:rPr>
        <w:t xml:space="preserve">Our </w:t>
      </w:r>
      <w:r>
        <w:rPr>
          <w:sz w:val="20"/>
        </w:rPr>
        <w:t>evidence</w:t>
      </w:r>
      <w:r w:rsidRPr="001B5FF6">
        <w:rPr>
          <w:sz w:val="20"/>
        </w:rPr>
        <w:t xml:space="preserve"> suggest</w:t>
      </w:r>
      <w:r>
        <w:rPr>
          <w:sz w:val="20"/>
        </w:rPr>
        <w:t>s</w:t>
      </w:r>
      <w:r w:rsidRPr="001B5FF6">
        <w:rPr>
          <w:sz w:val="20"/>
        </w:rPr>
        <w:t xml:space="preserve"> that the EU </w:t>
      </w:r>
      <w:r w:rsidR="007B040B">
        <w:rPr>
          <w:sz w:val="20"/>
        </w:rPr>
        <w:t xml:space="preserve">funding </w:t>
      </w:r>
      <w:r>
        <w:rPr>
          <w:sz w:val="20"/>
        </w:rPr>
        <w:t xml:space="preserve">did not </w:t>
      </w:r>
      <w:r w:rsidRPr="001B5FF6">
        <w:rPr>
          <w:sz w:val="20"/>
        </w:rPr>
        <w:t>influence</w:t>
      </w:r>
      <w:r w:rsidR="007B040B">
        <w:rPr>
          <w:sz w:val="20"/>
        </w:rPr>
        <w:t xml:space="preserve"> significantly</w:t>
      </w:r>
      <w:r w:rsidRPr="001B5FF6">
        <w:rPr>
          <w:sz w:val="20"/>
        </w:rPr>
        <w:t xml:space="preserve"> the convergence process </w:t>
      </w:r>
      <w:r w:rsidR="005A38BC">
        <w:rPr>
          <w:sz w:val="20"/>
        </w:rPr>
        <w:t xml:space="preserve">for employment </w:t>
      </w:r>
      <w:r w:rsidRPr="001B5FF6">
        <w:rPr>
          <w:sz w:val="20"/>
        </w:rPr>
        <w:t>in most countries</w:t>
      </w:r>
      <w:r w:rsidR="00BD08B8">
        <w:rPr>
          <w:sz w:val="20"/>
        </w:rPr>
        <w:t xml:space="preserve">. </w:t>
      </w:r>
      <w:r w:rsidR="00093003">
        <w:rPr>
          <w:sz w:val="20"/>
        </w:rPr>
        <w:t>In fact, e</w:t>
      </w:r>
      <w:r w:rsidR="00BD08B8">
        <w:rPr>
          <w:sz w:val="20"/>
        </w:rPr>
        <w:t xml:space="preserve">xcept for Germany and </w:t>
      </w:r>
      <w:r w:rsidR="00BD08B8" w:rsidRPr="001B5FF6">
        <w:rPr>
          <w:sz w:val="20"/>
        </w:rPr>
        <w:t>Italy</w:t>
      </w:r>
      <w:r w:rsidR="00BD08B8">
        <w:rPr>
          <w:sz w:val="20"/>
        </w:rPr>
        <w:t xml:space="preserve">, </w:t>
      </w:r>
      <w:r>
        <w:rPr>
          <w:sz w:val="20"/>
        </w:rPr>
        <w:t xml:space="preserve">the insignificance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δ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sz w:val="20"/>
        </w:rPr>
        <w:t xml:space="preserve"> </w:t>
      </w:r>
      <w:r w:rsidRPr="00600C52">
        <w:rPr>
          <w:sz w:val="20"/>
        </w:rPr>
        <w:t>coefficients</w:t>
      </w:r>
      <w:r>
        <w:rPr>
          <w:sz w:val="20"/>
        </w:rPr>
        <w:t xml:space="preserve"> </w:t>
      </w:r>
      <w:r w:rsidRPr="001B5FF6">
        <w:rPr>
          <w:sz w:val="20"/>
        </w:rPr>
        <w:t>show</w:t>
      </w:r>
      <w:r>
        <w:rPr>
          <w:sz w:val="20"/>
        </w:rPr>
        <w:t xml:space="preserve">s </w:t>
      </w:r>
      <w:r w:rsidRPr="001B5FF6">
        <w:rPr>
          <w:sz w:val="20"/>
        </w:rPr>
        <w:t>that</w:t>
      </w:r>
      <w:r>
        <w:rPr>
          <w:sz w:val="20"/>
        </w:rPr>
        <w:t>,</w:t>
      </w:r>
      <w:r w:rsidRPr="001B5FF6">
        <w:rPr>
          <w:sz w:val="20"/>
        </w:rPr>
        <w:t xml:space="preserve"> on average</w:t>
      </w:r>
      <w:r>
        <w:rPr>
          <w:sz w:val="20"/>
        </w:rPr>
        <w:t>,</w:t>
      </w:r>
      <w:r w:rsidRPr="001B5FF6">
        <w:rPr>
          <w:sz w:val="20"/>
        </w:rPr>
        <w:t xml:space="preserve"> </w:t>
      </w:r>
      <w:r w:rsidRPr="005A38BC">
        <w:rPr>
          <w:sz w:val="20"/>
        </w:rPr>
        <w:t>the</w:t>
      </w:r>
      <w:r w:rsidR="00BD08B8" w:rsidRPr="005A38BC">
        <w:rPr>
          <w:sz w:val="20"/>
        </w:rPr>
        <w:t xml:space="preserve"> differences between </w:t>
      </w:r>
      <w:r w:rsidR="00093003">
        <w:rPr>
          <w:sz w:val="20"/>
        </w:rPr>
        <w:t xml:space="preserve">the </w:t>
      </w:r>
      <w:r w:rsidRPr="005A38BC">
        <w:rPr>
          <w:sz w:val="20"/>
        </w:rPr>
        <w:t>employment rates of the control</w:t>
      </w:r>
      <w:r w:rsidRPr="001B5FF6">
        <w:rPr>
          <w:sz w:val="20"/>
        </w:rPr>
        <w:t xml:space="preserve"> and treated group</w:t>
      </w:r>
      <w:r>
        <w:rPr>
          <w:sz w:val="20"/>
        </w:rPr>
        <w:t>s</w:t>
      </w:r>
      <w:r w:rsidRPr="001B5FF6">
        <w:rPr>
          <w:sz w:val="20"/>
        </w:rPr>
        <w:t xml:space="preserve"> </w:t>
      </w:r>
      <w:r>
        <w:rPr>
          <w:sz w:val="20"/>
        </w:rPr>
        <w:t xml:space="preserve">look much the same </w:t>
      </w:r>
      <w:r w:rsidRPr="001B5FF6">
        <w:rPr>
          <w:sz w:val="20"/>
        </w:rPr>
        <w:t>before and</w:t>
      </w:r>
      <w:r w:rsidRPr="003208A2">
        <w:rPr>
          <w:sz w:val="20"/>
        </w:rPr>
        <w:t xml:space="preserve"> after the </w:t>
      </w:r>
      <w:r>
        <w:rPr>
          <w:sz w:val="20"/>
        </w:rPr>
        <w:t xml:space="preserve">provision of EU </w:t>
      </w:r>
      <w:r w:rsidRPr="00B75F14">
        <w:rPr>
          <w:sz w:val="20"/>
        </w:rPr>
        <w:t>fund</w:t>
      </w:r>
      <w:r w:rsidR="005A38BC" w:rsidRPr="00B75F14">
        <w:rPr>
          <w:sz w:val="20"/>
        </w:rPr>
        <w:t>s</w:t>
      </w:r>
      <w:r w:rsidRPr="00B75F14">
        <w:rPr>
          <w:sz w:val="20"/>
        </w:rPr>
        <w:t xml:space="preserve">. </w:t>
      </w:r>
      <w:r w:rsidR="007E4933" w:rsidRPr="00B75F14">
        <w:rPr>
          <w:sz w:val="20"/>
        </w:rPr>
        <w:t>I</w:t>
      </w:r>
      <w:r w:rsidRPr="00B75F14">
        <w:rPr>
          <w:sz w:val="20"/>
        </w:rPr>
        <w:t xml:space="preserve">t could be assumed that </w:t>
      </w:r>
      <w:r w:rsidR="005A38BC" w:rsidRPr="00B75F14">
        <w:rPr>
          <w:sz w:val="20"/>
        </w:rPr>
        <w:t xml:space="preserve">in some countries (Austria, Czech and Slovak Republics, and the United Kingdom) </w:t>
      </w:r>
      <w:r w:rsidRPr="00B75F14">
        <w:rPr>
          <w:sz w:val="20"/>
        </w:rPr>
        <w:t>convergence process</w:t>
      </w:r>
      <w:r w:rsidR="005A38BC" w:rsidRPr="00B75F14">
        <w:rPr>
          <w:sz w:val="20"/>
        </w:rPr>
        <w:t>es</w:t>
      </w:r>
      <w:r w:rsidRPr="00B75F14">
        <w:rPr>
          <w:sz w:val="20"/>
        </w:rPr>
        <w:t xml:space="preserve"> w</w:t>
      </w:r>
      <w:r w:rsidR="005A38BC" w:rsidRPr="00B75F14">
        <w:rPr>
          <w:sz w:val="20"/>
        </w:rPr>
        <w:t>ere</w:t>
      </w:r>
      <w:r w:rsidRPr="00B75F14">
        <w:rPr>
          <w:sz w:val="20"/>
        </w:rPr>
        <w:t xml:space="preserve"> already underway</w:t>
      </w:r>
      <w:r w:rsidR="00977B0B" w:rsidRPr="00B75F14">
        <w:rPr>
          <w:sz w:val="20"/>
        </w:rPr>
        <w:t>, though at different timing and extent,</w:t>
      </w:r>
      <w:r w:rsidRPr="00B75F14">
        <w:rPr>
          <w:sz w:val="20"/>
        </w:rPr>
        <w:t xml:space="preserve"> before the entry into force of the EU </w:t>
      </w:r>
      <w:r w:rsidR="00977B0B" w:rsidRPr="00B75F14">
        <w:rPr>
          <w:sz w:val="20"/>
        </w:rPr>
        <w:t>policy</w:t>
      </w:r>
      <w:r w:rsidR="005A38BC" w:rsidRPr="00B75F14">
        <w:rPr>
          <w:sz w:val="20"/>
        </w:rPr>
        <w:t>.</w:t>
      </w:r>
      <w:r w:rsidR="00977B0B" w:rsidRPr="00B75F14">
        <w:rPr>
          <w:sz w:val="20"/>
        </w:rPr>
        <w:t xml:space="preserve"> </w:t>
      </w:r>
      <w:r w:rsidR="005A38BC" w:rsidRPr="00B75F14">
        <w:rPr>
          <w:sz w:val="20"/>
        </w:rPr>
        <w:t>However, b</w:t>
      </w:r>
      <w:r w:rsidR="00DB62EF" w:rsidRPr="00B75F14">
        <w:rPr>
          <w:sz w:val="20"/>
        </w:rPr>
        <w:t>etween 2007 and 2013</w:t>
      </w:r>
      <w:r w:rsidR="005A38BC" w:rsidRPr="00B75F14">
        <w:rPr>
          <w:sz w:val="20"/>
        </w:rPr>
        <w:t>,</w:t>
      </w:r>
      <w:r w:rsidR="00DB62EF" w:rsidRPr="00B75F14">
        <w:rPr>
          <w:sz w:val="20"/>
        </w:rPr>
        <w:t xml:space="preserve"> </w:t>
      </w:r>
      <w:r w:rsidR="00B75F14" w:rsidRPr="00B75F14">
        <w:rPr>
          <w:sz w:val="20"/>
        </w:rPr>
        <w:t xml:space="preserve">the average </w:t>
      </w:r>
      <w:r w:rsidR="00DB62EF" w:rsidRPr="00B75F14">
        <w:rPr>
          <w:sz w:val="20"/>
        </w:rPr>
        <w:t xml:space="preserve">employment </w:t>
      </w:r>
      <w:r w:rsidR="00B75F14" w:rsidRPr="00B75F14">
        <w:rPr>
          <w:sz w:val="20"/>
        </w:rPr>
        <w:t>levels</w:t>
      </w:r>
      <w:r w:rsidR="005A38BC" w:rsidRPr="00B75F14">
        <w:rPr>
          <w:sz w:val="20"/>
        </w:rPr>
        <w:t xml:space="preserve"> </w:t>
      </w:r>
      <w:r w:rsidR="00DB62EF" w:rsidRPr="00B75F14">
        <w:rPr>
          <w:sz w:val="20"/>
        </w:rPr>
        <w:t>ha</w:t>
      </w:r>
      <w:r w:rsidR="005A38BC" w:rsidRPr="00B75F14">
        <w:rPr>
          <w:sz w:val="20"/>
        </w:rPr>
        <w:t>ve</w:t>
      </w:r>
      <w:r w:rsidR="00DB62EF" w:rsidRPr="00B75F14">
        <w:rPr>
          <w:sz w:val="20"/>
        </w:rPr>
        <w:t xml:space="preserve"> even raised faster in the untreated regions of Belgium and Hungary while </w:t>
      </w:r>
      <w:r w:rsidR="00B75F14" w:rsidRPr="00B75F14">
        <w:rPr>
          <w:sz w:val="20"/>
        </w:rPr>
        <w:t xml:space="preserve">they have </w:t>
      </w:r>
      <w:r w:rsidR="00DB62EF" w:rsidRPr="00B75F14">
        <w:rPr>
          <w:sz w:val="20"/>
        </w:rPr>
        <w:t xml:space="preserve">decreased </w:t>
      </w:r>
      <w:r w:rsidR="00B75F14">
        <w:rPr>
          <w:sz w:val="20"/>
        </w:rPr>
        <w:t>for</w:t>
      </w:r>
      <w:r w:rsidR="00DB62EF" w:rsidRPr="00B75F14">
        <w:rPr>
          <w:sz w:val="20"/>
        </w:rPr>
        <w:t xml:space="preserve"> </w:t>
      </w:r>
      <w:r w:rsidR="00B75F14">
        <w:rPr>
          <w:sz w:val="20"/>
        </w:rPr>
        <w:t xml:space="preserve">both groups of regions in </w:t>
      </w:r>
      <w:r w:rsidR="00DB62EF" w:rsidRPr="00B75F14">
        <w:rPr>
          <w:sz w:val="20"/>
        </w:rPr>
        <w:t>Spain and Portugal</w:t>
      </w:r>
      <w:r w:rsidR="00B75F14">
        <w:rPr>
          <w:sz w:val="20"/>
        </w:rPr>
        <w:t>,</w:t>
      </w:r>
      <w:r w:rsidR="00D83343" w:rsidRPr="00B75F14">
        <w:rPr>
          <w:sz w:val="20"/>
        </w:rPr>
        <w:t xml:space="preserve"> widening</w:t>
      </w:r>
      <w:r w:rsidR="00B75F14" w:rsidRPr="00B75F14">
        <w:rPr>
          <w:sz w:val="20"/>
        </w:rPr>
        <w:t xml:space="preserve"> in </w:t>
      </w:r>
      <w:r w:rsidR="00B75F14">
        <w:rPr>
          <w:sz w:val="20"/>
        </w:rPr>
        <w:t xml:space="preserve">either case the territorial </w:t>
      </w:r>
      <w:r w:rsidR="00DB62EF" w:rsidRPr="00B75F14">
        <w:rPr>
          <w:sz w:val="20"/>
        </w:rPr>
        <w:t>divergence</w:t>
      </w:r>
      <w:r w:rsidR="00D83343" w:rsidRPr="00B75F14">
        <w:rPr>
          <w:sz w:val="20"/>
        </w:rPr>
        <w:t xml:space="preserve"> </w:t>
      </w:r>
      <w:r w:rsidR="00B75F14" w:rsidRPr="00B75F14">
        <w:rPr>
          <w:sz w:val="20"/>
        </w:rPr>
        <w:t>within</w:t>
      </w:r>
      <w:r w:rsidR="00977B0B" w:rsidRPr="00B75F14">
        <w:rPr>
          <w:sz w:val="20"/>
        </w:rPr>
        <w:t xml:space="preserve"> countr</w:t>
      </w:r>
      <w:r w:rsidR="00B75F14">
        <w:rPr>
          <w:sz w:val="20"/>
        </w:rPr>
        <w:t>y</w:t>
      </w:r>
      <w:r w:rsidR="00D83343" w:rsidRPr="00B75F14">
        <w:rPr>
          <w:sz w:val="20"/>
        </w:rPr>
        <w:t xml:space="preserve">. </w:t>
      </w:r>
      <w:r w:rsidR="00DB62EF" w:rsidRPr="00B75F14">
        <w:rPr>
          <w:sz w:val="20"/>
        </w:rPr>
        <w:t xml:space="preserve"> </w:t>
      </w:r>
    </w:p>
    <w:p w14:paraId="7F5510D1" w14:textId="77777777" w:rsidR="00AA05AB" w:rsidRPr="00DB62EF" w:rsidRDefault="00AA05AB" w:rsidP="00AA05AB">
      <w:pPr>
        <w:pStyle w:val="Maintext"/>
        <w:ind w:firstLine="284"/>
        <w:rPr>
          <w:szCs w:val="18"/>
        </w:rPr>
      </w:pPr>
    </w:p>
    <w:p w14:paraId="7D731F21" w14:textId="3C6A0076" w:rsidR="008E4876" w:rsidRDefault="008E4876" w:rsidP="008E4876">
      <w:pPr>
        <w:pStyle w:val="Didascalia4"/>
      </w:pPr>
      <w:r w:rsidRPr="00DB62EF">
        <w:rPr>
          <w:b/>
        </w:rPr>
        <w:t>Table 1:</w:t>
      </w:r>
      <w:r w:rsidRPr="00DB62EF">
        <w:t xml:space="preserve"> Diff-in-Diff </w:t>
      </w:r>
      <w:r w:rsidR="00606FF8">
        <w:t>e</w:t>
      </w:r>
      <w:r w:rsidRPr="00DB62EF">
        <w:t xml:space="preserve">stimates by country. </w:t>
      </w:r>
      <w:r>
        <w:t>Model without covariates, 2000-2016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00"/>
        <w:gridCol w:w="918"/>
        <w:gridCol w:w="1071"/>
        <w:gridCol w:w="1044"/>
        <w:gridCol w:w="1040"/>
        <w:gridCol w:w="1044"/>
      </w:tblGrid>
      <w:tr w:rsidR="008E4876" w14:paraId="0E722741" w14:textId="77777777" w:rsidTr="00D45A38">
        <w:trPr>
          <w:jc w:val="center"/>
        </w:trPr>
        <w:tc>
          <w:tcPr>
            <w:tcW w:w="1354" w:type="pct"/>
            <w:tcBorders>
              <w:top w:val="single" w:sz="4" w:space="0" w:color="000000"/>
              <w:bottom w:val="double" w:sz="1" w:space="0" w:color="000000"/>
            </w:tcBorders>
          </w:tcPr>
          <w:p w14:paraId="447E22E8" w14:textId="77777777" w:rsidR="008E4876" w:rsidRDefault="008E4876" w:rsidP="00D45A38">
            <w:pPr>
              <w:snapToGrid w:val="0"/>
              <w:rPr>
                <w:b/>
                <w:i/>
              </w:rPr>
            </w:pPr>
          </w:p>
        </w:tc>
        <w:tc>
          <w:tcPr>
            <w:tcW w:w="654" w:type="pct"/>
            <w:tcBorders>
              <w:top w:val="single" w:sz="4" w:space="0" w:color="000000"/>
              <w:bottom w:val="double" w:sz="1" w:space="0" w:color="000000"/>
            </w:tcBorders>
            <w:vAlign w:val="center"/>
          </w:tcPr>
          <w:p w14:paraId="360E0A1B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Austria</w:t>
            </w:r>
          </w:p>
        </w:tc>
        <w:tc>
          <w:tcPr>
            <w:tcW w:w="763" w:type="pct"/>
            <w:tcBorders>
              <w:top w:val="single" w:sz="4" w:space="0" w:color="000000"/>
              <w:bottom w:val="double" w:sz="1" w:space="0" w:color="000000"/>
            </w:tcBorders>
            <w:vAlign w:val="center"/>
          </w:tcPr>
          <w:p w14:paraId="53A66FE5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Belgium</w:t>
            </w:r>
          </w:p>
        </w:tc>
        <w:tc>
          <w:tcPr>
            <w:tcW w:w="744" w:type="pct"/>
            <w:tcBorders>
              <w:top w:val="single" w:sz="4" w:space="0" w:color="000000"/>
              <w:bottom w:val="double" w:sz="1" w:space="0" w:color="000000"/>
            </w:tcBorders>
            <w:vAlign w:val="center"/>
          </w:tcPr>
          <w:p w14:paraId="331F85F9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Czech Republic</w:t>
            </w:r>
          </w:p>
        </w:tc>
        <w:tc>
          <w:tcPr>
            <w:tcW w:w="741" w:type="pct"/>
            <w:tcBorders>
              <w:top w:val="single" w:sz="4" w:space="0" w:color="000000"/>
              <w:bottom w:val="double" w:sz="1" w:space="0" w:color="000000"/>
            </w:tcBorders>
            <w:vAlign w:val="center"/>
          </w:tcPr>
          <w:p w14:paraId="5B637CDE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Germany</w:t>
            </w:r>
          </w:p>
        </w:tc>
        <w:tc>
          <w:tcPr>
            <w:tcW w:w="744" w:type="pct"/>
            <w:tcBorders>
              <w:top w:val="single" w:sz="4" w:space="0" w:color="000000"/>
              <w:bottom w:val="double" w:sz="1" w:space="0" w:color="000000"/>
            </w:tcBorders>
            <w:vAlign w:val="center"/>
          </w:tcPr>
          <w:p w14:paraId="12BA4192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Spain</w:t>
            </w:r>
          </w:p>
        </w:tc>
      </w:tr>
      <w:tr w:rsidR="008E4876" w14:paraId="047EBEFA" w14:textId="77777777" w:rsidTr="00D45A38">
        <w:trPr>
          <w:jc w:val="center"/>
        </w:trPr>
        <w:tc>
          <w:tcPr>
            <w:tcW w:w="1354" w:type="pct"/>
          </w:tcPr>
          <w:p w14:paraId="4C589858" w14:textId="77777777" w:rsidR="008E4876" w:rsidRPr="0062116D" w:rsidRDefault="008E4876" w:rsidP="00D45A38">
            <w:pPr>
              <w:pStyle w:val="Maintextfirstline"/>
              <w:snapToGrid w:val="0"/>
              <w:spacing w:before="40" w:after="40"/>
              <w:rPr>
                <w:b/>
              </w:rPr>
            </w:pPr>
            <w:r w:rsidRPr="0062116D">
              <w:rPr>
                <w:b/>
              </w:rPr>
              <w:t>Before</w:t>
            </w:r>
          </w:p>
        </w:tc>
        <w:tc>
          <w:tcPr>
            <w:tcW w:w="654" w:type="pct"/>
          </w:tcPr>
          <w:p w14:paraId="7DD9367D" w14:textId="77777777" w:rsidR="008E4876" w:rsidRDefault="008E4876" w:rsidP="00D45A38">
            <w:pPr>
              <w:pStyle w:val="Maintextfirstline"/>
              <w:snapToGrid w:val="0"/>
            </w:pPr>
          </w:p>
        </w:tc>
        <w:tc>
          <w:tcPr>
            <w:tcW w:w="763" w:type="pct"/>
          </w:tcPr>
          <w:p w14:paraId="110C6767" w14:textId="77777777" w:rsidR="008E4876" w:rsidRDefault="008E4876" w:rsidP="00D45A38">
            <w:pPr>
              <w:snapToGrid w:val="0"/>
            </w:pPr>
          </w:p>
        </w:tc>
        <w:tc>
          <w:tcPr>
            <w:tcW w:w="744" w:type="pct"/>
          </w:tcPr>
          <w:p w14:paraId="23E795FD" w14:textId="77777777" w:rsidR="008E4876" w:rsidRDefault="008E4876" w:rsidP="00D45A38">
            <w:pPr>
              <w:snapToGrid w:val="0"/>
            </w:pPr>
          </w:p>
        </w:tc>
        <w:tc>
          <w:tcPr>
            <w:tcW w:w="741" w:type="pct"/>
          </w:tcPr>
          <w:p w14:paraId="0671CDE6" w14:textId="77777777" w:rsidR="008E4876" w:rsidRDefault="008E4876" w:rsidP="00D45A38">
            <w:pPr>
              <w:snapToGrid w:val="0"/>
            </w:pPr>
          </w:p>
        </w:tc>
        <w:tc>
          <w:tcPr>
            <w:tcW w:w="744" w:type="pct"/>
          </w:tcPr>
          <w:p w14:paraId="56F4B2DD" w14:textId="77777777" w:rsidR="008E4876" w:rsidRDefault="008E4876" w:rsidP="00D45A38">
            <w:pPr>
              <w:snapToGrid w:val="0"/>
            </w:pPr>
          </w:p>
        </w:tc>
      </w:tr>
      <w:tr w:rsidR="008E4876" w:rsidRPr="00CC0675" w14:paraId="28182CCE" w14:textId="77777777" w:rsidTr="00D45A38">
        <w:trPr>
          <w:jc w:val="center"/>
        </w:trPr>
        <w:tc>
          <w:tcPr>
            <w:tcW w:w="1354" w:type="pct"/>
          </w:tcPr>
          <w:p w14:paraId="0D712583" w14:textId="77777777" w:rsidR="008E4876" w:rsidRDefault="008E4876" w:rsidP="00D45A38">
            <w:pPr>
              <w:pStyle w:val="Maintextfirstline"/>
              <w:snapToGrid w:val="0"/>
            </w:pPr>
            <w:r>
              <w:t xml:space="preserve">   Control</w:t>
            </w:r>
          </w:p>
          <w:p w14:paraId="48B8B7E7" w14:textId="77777777" w:rsidR="008E4876" w:rsidRDefault="008E4876" w:rsidP="00D45A38">
            <w:pPr>
              <w:pStyle w:val="Maintext"/>
            </w:pPr>
            <w:r>
              <w:t xml:space="preserve">   Treated </w:t>
            </w:r>
          </w:p>
          <w:p w14:paraId="7174044A" w14:textId="77777777" w:rsidR="008E4876" w:rsidRDefault="008E4876" w:rsidP="00D45A38">
            <w:pPr>
              <w:pStyle w:val="Maintext"/>
            </w:pPr>
            <w:r>
              <w:t xml:space="preserve">   Diff (T – C) </w:t>
            </w:r>
          </w:p>
          <w:p w14:paraId="0AD56FE4" w14:textId="77777777" w:rsidR="008E4876" w:rsidRPr="0062116D" w:rsidRDefault="008E4876" w:rsidP="00D45A38">
            <w:pPr>
              <w:pStyle w:val="Maintext"/>
              <w:spacing w:before="120" w:after="40"/>
              <w:rPr>
                <w:b/>
              </w:rPr>
            </w:pPr>
            <w:r w:rsidRPr="0062116D">
              <w:rPr>
                <w:b/>
              </w:rPr>
              <w:t xml:space="preserve">After </w:t>
            </w:r>
          </w:p>
          <w:p w14:paraId="39322B9C" w14:textId="77777777" w:rsidR="008E4876" w:rsidRDefault="008E4876" w:rsidP="00D45A38">
            <w:pPr>
              <w:pStyle w:val="Maintext"/>
            </w:pPr>
            <w:r>
              <w:t xml:space="preserve">   Control</w:t>
            </w:r>
          </w:p>
          <w:p w14:paraId="54BFD8D6" w14:textId="77777777" w:rsidR="008E4876" w:rsidRDefault="008E4876" w:rsidP="00D45A38">
            <w:pPr>
              <w:pStyle w:val="Maintext"/>
            </w:pPr>
            <w:r>
              <w:t xml:space="preserve">   Treated</w:t>
            </w:r>
          </w:p>
          <w:p w14:paraId="5EEE696D" w14:textId="77777777" w:rsidR="008E4876" w:rsidRDefault="008E4876" w:rsidP="00D45A38">
            <w:pPr>
              <w:pStyle w:val="Maintext"/>
            </w:pPr>
            <w:r>
              <w:t xml:space="preserve">   Diff (T – C)</w:t>
            </w:r>
          </w:p>
          <w:p w14:paraId="7B4F52B6" w14:textId="77777777" w:rsidR="008E4876" w:rsidRDefault="008E4876" w:rsidP="00D45A38">
            <w:pPr>
              <w:pStyle w:val="Maintext"/>
            </w:pPr>
          </w:p>
          <w:p w14:paraId="2D250156" w14:textId="77777777" w:rsidR="008E4876" w:rsidRDefault="008E4876" w:rsidP="00D45A38">
            <w:pPr>
              <w:pStyle w:val="Maintext"/>
            </w:pPr>
          </w:p>
          <w:p w14:paraId="7FB10566" w14:textId="77777777" w:rsidR="008E4876" w:rsidRPr="0062116D" w:rsidRDefault="008E4876" w:rsidP="00D45A38">
            <w:pPr>
              <w:pStyle w:val="Maintext"/>
              <w:rPr>
                <w:b/>
              </w:rPr>
            </w:pPr>
            <w:r w:rsidRPr="0062116D">
              <w:rPr>
                <w:b/>
              </w:rPr>
              <w:t>Diff-in-Diff</w:t>
            </w:r>
          </w:p>
        </w:tc>
        <w:tc>
          <w:tcPr>
            <w:tcW w:w="654" w:type="pct"/>
          </w:tcPr>
          <w:p w14:paraId="45290CFF" w14:textId="77777777" w:rsidR="008E4876" w:rsidRDefault="008E4876" w:rsidP="00D45A38">
            <w:pPr>
              <w:pStyle w:val="Maintextfirstline"/>
              <w:snapToGrid w:val="0"/>
            </w:pPr>
            <w:r>
              <w:t>70.80</w:t>
            </w:r>
          </w:p>
          <w:p w14:paraId="52E45EB0" w14:textId="77777777" w:rsidR="008E4876" w:rsidRDefault="008E4876" w:rsidP="00D45A38">
            <w:pPr>
              <w:pStyle w:val="Maintext"/>
            </w:pPr>
            <w:r>
              <w:t>70.84</w:t>
            </w:r>
          </w:p>
          <w:p w14:paraId="1E116DCA" w14:textId="77777777" w:rsidR="008E4876" w:rsidRDefault="008E4876" w:rsidP="00D45A38">
            <w:pPr>
              <w:pStyle w:val="Maintext"/>
              <w:ind w:left="-8"/>
            </w:pPr>
            <w:r>
              <w:t xml:space="preserve">  0.05</w:t>
            </w:r>
          </w:p>
          <w:p w14:paraId="1DADAEC9" w14:textId="77777777" w:rsidR="008E4876" w:rsidRDefault="008E4876" w:rsidP="00D45A38">
            <w:pPr>
              <w:pStyle w:val="Maintext"/>
              <w:ind w:left="-8"/>
            </w:pPr>
            <w:r>
              <w:t>(1.12)</w:t>
            </w:r>
          </w:p>
          <w:p w14:paraId="2B1704AD" w14:textId="77777777" w:rsidR="008E4876" w:rsidRDefault="008E4876" w:rsidP="00D45A38">
            <w:pPr>
              <w:pStyle w:val="Maintext"/>
              <w:ind w:left="-8"/>
            </w:pPr>
          </w:p>
          <w:p w14:paraId="2D1B2868" w14:textId="77777777" w:rsidR="008E4876" w:rsidRDefault="008E4876" w:rsidP="00D45A38">
            <w:pPr>
              <w:pStyle w:val="Maintext"/>
              <w:ind w:left="-8"/>
            </w:pPr>
            <w:r>
              <w:t>74.67</w:t>
            </w:r>
          </w:p>
          <w:p w14:paraId="05E9E32B" w14:textId="77777777" w:rsidR="008E4876" w:rsidRDefault="008E4876" w:rsidP="00D45A38">
            <w:pPr>
              <w:pStyle w:val="Maintext"/>
              <w:ind w:left="-8"/>
            </w:pPr>
            <w:r>
              <w:t>73.83</w:t>
            </w:r>
          </w:p>
          <w:p w14:paraId="78BCA3BD" w14:textId="77777777" w:rsidR="008E4876" w:rsidRDefault="008E4876" w:rsidP="00D45A38">
            <w:pPr>
              <w:pStyle w:val="Maintext"/>
              <w:ind w:left="-8"/>
            </w:pPr>
            <w:r>
              <w:t>-0.84</w:t>
            </w:r>
          </w:p>
          <w:p w14:paraId="77E26F8F" w14:textId="77777777" w:rsidR="008E4876" w:rsidRDefault="008E4876" w:rsidP="00D45A38">
            <w:pPr>
              <w:pStyle w:val="Maintext"/>
              <w:ind w:left="-8"/>
            </w:pPr>
            <w:r>
              <w:t>(.94)</w:t>
            </w:r>
          </w:p>
          <w:p w14:paraId="44DEC25A" w14:textId="77777777" w:rsidR="008E4876" w:rsidRDefault="008E4876" w:rsidP="00D45A38">
            <w:pPr>
              <w:pStyle w:val="Maintext"/>
              <w:spacing w:before="120"/>
            </w:pPr>
            <w:r>
              <w:t>-0.89</w:t>
            </w:r>
          </w:p>
          <w:p w14:paraId="30D2C4D9" w14:textId="77777777" w:rsidR="008E4876" w:rsidRPr="0062116D" w:rsidRDefault="008E4876" w:rsidP="00D45A38">
            <w:pPr>
              <w:pStyle w:val="Maintext"/>
            </w:pPr>
            <w:r>
              <w:t>(1.46)</w:t>
            </w:r>
          </w:p>
        </w:tc>
        <w:tc>
          <w:tcPr>
            <w:tcW w:w="763" w:type="pct"/>
          </w:tcPr>
          <w:p w14:paraId="20D67D9E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 w:rsidRPr="00573E9B">
              <w:rPr>
                <w:sz w:val="18"/>
                <w:szCs w:val="18"/>
              </w:rPr>
              <w:t>66.29</w:t>
            </w:r>
          </w:p>
          <w:p w14:paraId="5F9DE67F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 w:rsidRPr="00573E9B">
              <w:rPr>
                <w:sz w:val="18"/>
                <w:szCs w:val="18"/>
              </w:rPr>
              <w:t>57.60</w:t>
            </w:r>
          </w:p>
          <w:p w14:paraId="47A076A5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 w:rsidRPr="00573E9B">
              <w:rPr>
                <w:sz w:val="18"/>
                <w:szCs w:val="18"/>
              </w:rPr>
              <w:t>-8.69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71F46FFB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 w:rsidRPr="00573E9B">
              <w:rPr>
                <w:sz w:val="18"/>
                <w:szCs w:val="18"/>
              </w:rPr>
              <w:t>(1.79)</w:t>
            </w:r>
          </w:p>
          <w:p w14:paraId="4978DA6F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</w:p>
          <w:p w14:paraId="3C609DAE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68.20</w:t>
            </w:r>
          </w:p>
          <w:p w14:paraId="618DEF61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58.62</w:t>
            </w:r>
          </w:p>
          <w:p w14:paraId="1D254DE8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>-9.58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3B2A85D0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(1.50)</w:t>
            </w:r>
          </w:p>
          <w:p w14:paraId="695C4FCE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-0.89</w:t>
            </w:r>
          </w:p>
          <w:p w14:paraId="156E8A79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(2.34)</w:t>
            </w:r>
          </w:p>
        </w:tc>
        <w:tc>
          <w:tcPr>
            <w:tcW w:w="744" w:type="pct"/>
          </w:tcPr>
          <w:p w14:paraId="4CC3085E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77.26</w:t>
            </w:r>
          </w:p>
          <w:p w14:paraId="7124D1C4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70.04</w:t>
            </w:r>
          </w:p>
          <w:p w14:paraId="2C904151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>-7.17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352696AB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 w:rsidRPr="00573E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1.18</w:t>
            </w:r>
            <w:r w:rsidRPr="00573E9B">
              <w:rPr>
                <w:sz w:val="18"/>
                <w:szCs w:val="18"/>
              </w:rPr>
              <w:t>)</w:t>
            </w:r>
          </w:p>
          <w:p w14:paraId="246EFA96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</w:p>
          <w:p w14:paraId="50900583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77.35</w:t>
            </w:r>
          </w:p>
          <w:p w14:paraId="40305532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71.82</w:t>
            </w:r>
          </w:p>
          <w:p w14:paraId="19413A81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>-5.53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766E2A72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(.99)</w:t>
            </w:r>
          </w:p>
          <w:p w14:paraId="7B5F5178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  <w:p w14:paraId="12C564C1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(1.54)</w:t>
            </w:r>
          </w:p>
        </w:tc>
        <w:tc>
          <w:tcPr>
            <w:tcW w:w="741" w:type="pct"/>
          </w:tcPr>
          <w:p w14:paraId="39B6F2D7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69.80</w:t>
            </w:r>
          </w:p>
          <w:p w14:paraId="3A8EFAD2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66.57</w:t>
            </w:r>
          </w:p>
          <w:p w14:paraId="1A392687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>-3.24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1D87D386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 w:rsidRPr="00573E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.59</w:t>
            </w:r>
            <w:r w:rsidRPr="00573E9B">
              <w:rPr>
                <w:sz w:val="18"/>
                <w:szCs w:val="18"/>
              </w:rPr>
              <w:t>)</w:t>
            </w:r>
          </w:p>
          <w:p w14:paraId="7ECA8448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</w:p>
          <w:p w14:paraId="3A41BEBC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76.38</w:t>
            </w:r>
          </w:p>
          <w:p w14:paraId="073F0073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75.63</w:t>
            </w:r>
          </w:p>
          <w:p w14:paraId="17010090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>-0.73</w:t>
            </w:r>
          </w:p>
          <w:p w14:paraId="1C7F646A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(.45)</w:t>
            </w:r>
          </w:p>
          <w:p w14:paraId="5E3BF0A7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2.51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3C8C0EB6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(.74)</w:t>
            </w:r>
          </w:p>
        </w:tc>
        <w:tc>
          <w:tcPr>
            <w:tcW w:w="744" w:type="pct"/>
          </w:tcPr>
          <w:p w14:paraId="641D2000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67.38</w:t>
            </w:r>
          </w:p>
          <w:p w14:paraId="4C618F91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58.58</w:t>
            </w:r>
          </w:p>
          <w:p w14:paraId="55CD9946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>-8.81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4B7DE5F9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 w:rsidRPr="00573E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.87</w:t>
            </w:r>
            <w:r w:rsidRPr="00573E9B">
              <w:rPr>
                <w:sz w:val="18"/>
                <w:szCs w:val="18"/>
              </w:rPr>
              <w:t>)</w:t>
            </w:r>
          </w:p>
          <w:p w14:paraId="37EC6F9A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</w:p>
          <w:p w14:paraId="0482413D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66.19</w:t>
            </w:r>
          </w:p>
          <w:p w14:paraId="140D6FEB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57.20</w:t>
            </w:r>
          </w:p>
          <w:p w14:paraId="628B4B08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>-8.99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14CA68BF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(.73)</w:t>
            </w:r>
          </w:p>
          <w:p w14:paraId="34211E03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-0.18</w:t>
            </w:r>
          </w:p>
          <w:p w14:paraId="75891C86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(1.14)</w:t>
            </w:r>
          </w:p>
        </w:tc>
      </w:tr>
      <w:tr w:rsidR="008E4876" w:rsidRPr="00CC0675" w14:paraId="29A1D695" w14:textId="77777777" w:rsidTr="00D45A38">
        <w:trPr>
          <w:jc w:val="center"/>
        </w:trPr>
        <w:tc>
          <w:tcPr>
            <w:tcW w:w="1354" w:type="pct"/>
            <w:tcBorders>
              <w:bottom w:val="single" w:sz="4" w:space="0" w:color="auto"/>
            </w:tcBorders>
          </w:tcPr>
          <w:p w14:paraId="427B9282" w14:textId="77777777" w:rsidR="008E4876" w:rsidRPr="00F97B48" w:rsidRDefault="008E4876" w:rsidP="00D45A38">
            <w:pPr>
              <w:pStyle w:val="Maintextfirstline"/>
              <w:snapToGrid w:val="0"/>
              <w:spacing w:before="120"/>
              <w:jc w:val="left"/>
              <w:rPr>
                <w:b/>
              </w:rPr>
            </w:pPr>
            <w:r w:rsidRPr="00F97B48">
              <w:rPr>
                <w:b/>
              </w:rPr>
              <w:t xml:space="preserve">Parallel Assumption 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19B05D7F" w14:textId="77777777" w:rsidR="008E4876" w:rsidRDefault="008E4876" w:rsidP="00D45A38">
            <w:pPr>
              <w:pStyle w:val="Maintextfirstline"/>
              <w:snapToGrid w:val="0"/>
              <w:spacing w:before="120"/>
            </w:pPr>
            <w:r>
              <w:t>3.52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1DFF8391" w14:textId="77777777" w:rsidR="008E4876" w:rsidRPr="00573E9B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6E670E84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02A4CAAE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070017E8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</w:tr>
    </w:tbl>
    <w:p w14:paraId="40B1DE8C" w14:textId="77777777" w:rsidR="008E4876" w:rsidRDefault="008E4876" w:rsidP="008E4876">
      <w:pPr>
        <w:pStyle w:val="Didascalia4"/>
        <w:rPr>
          <w:bCs/>
          <w:i/>
        </w:rPr>
      </w:pPr>
      <w:r w:rsidRPr="000B7EBC">
        <w:rPr>
          <w:bCs/>
          <w:i/>
        </w:rPr>
        <w:t>*Significant at 10%; **Significant at 5%; ***Significant at 1%; Standard errors in brackets.</w:t>
      </w:r>
    </w:p>
    <w:p w14:paraId="02B375F2" w14:textId="77777777" w:rsidR="008E4876" w:rsidRPr="00074403" w:rsidRDefault="008E4876" w:rsidP="008E4876">
      <w:pPr>
        <w:pStyle w:val="Maintext"/>
      </w:pPr>
    </w:p>
    <w:p w14:paraId="39C06EE0" w14:textId="49A0852F" w:rsidR="008E4876" w:rsidRDefault="008E4876" w:rsidP="008E4876">
      <w:pPr>
        <w:pStyle w:val="Didascalia4"/>
      </w:pPr>
      <w:r>
        <w:rPr>
          <w:b/>
        </w:rPr>
        <w:t>Table 2:</w:t>
      </w:r>
      <w:r>
        <w:t xml:space="preserve"> Diff-in-Diff </w:t>
      </w:r>
      <w:r w:rsidR="00606FF8">
        <w:t>e</w:t>
      </w:r>
      <w:r>
        <w:t>stimates by country. Model without covariates, 2000-2016</w:t>
      </w:r>
    </w:p>
    <w:tbl>
      <w:tblPr>
        <w:tblW w:w="5105" w:type="pct"/>
        <w:jc w:val="center"/>
        <w:tblLook w:val="0000" w:firstRow="0" w:lastRow="0" w:firstColumn="0" w:lastColumn="0" w:noHBand="0" w:noVBand="0"/>
      </w:tblPr>
      <w:tblGrid>
        <w:gridCol w:w="1858"/>
        <w:gridCol w:w="961"/>
        <w:gridCol w:w="1050"/>
        <w:gridCol w:w="1020"/>
        <w:gridCol w:w="1192"/>
        <w:gridCol w:w="1083"/>
      </w:tblGrid>
      <w:tr w:rsidR="008E4876" w14:paraId="47BC5CBA" w14:textId="77777777" w:rsidTr="00D45A38">
        <w:trPr>
          <w:jc w:val="center"/>
        </w:trPr>
        <w:tc>
          <w:tcPr>
            <w:tcW w:w="1297" w:type="pct"/>
            <w:tcBorders>
              <w:top w:val="single" w:sz="4" w:space="0" w:color="000000"/>
              <w:bottom w:val="double" w:sz="1" w:space="0" w:color="000000"/>
            </w:tcBorders>
          </w:tcPr>
          <w:p w14:paraId="266A566E" w14:textId="77777777" w:rsidR="008E4876" w:rsidRDefault="008E4876" w:rsidP="00D45A38">
            <w:pPr>
              <w:snapToGrid w:val="0"/>
              <w:rPr>
                <w:b/>
                <w:i/>
              </w:rPr>
            </w:pPr>
          </w:p>
        </w:tc>
        <w:tc>
          <w:tcPr>
            <w:tcW w:w="670" w:type="pct"/>
            <w:tcBorders>
              <w:top w:val="single" w:sz="4" w:space="0" w:color="000000"/>
              <w:bottom w:val="double" w:sz="1" w:space="0" w:color="000000"/>
            </w:tcBorders>
            <w:vAlign w:val="center"/>
          </w:tcPr>
          <w:p w14:paraId="58827647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Hungary</w:t>
            </w:r>
          </w:p>
        </w:tc>
        <w:tc>
          <w:tcPr>
            <w:tcW w:w="733" w:type="pct"/>
            <w:tcBorders>
              <w:top w:val="single" w:sz="4" w:space="0" w:color="000000"/>
              <w:bottom w:val="double" w:sz="1" w:space="0" w:color="000000"/>
            </w:tcBorders>
            <w:vAlign w:val="center"/>
          </w:tcPr>
          <w:p w14:paraId="2000641A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Italy</w:t>
            </w:r>
          </w:p>
        </w:tc>
        <w:tc>
          <w:tcPr>
            <w:tcW w:w="712" w:type="pct"/>
            <w:tcBorders>
              <w:top w:val="single" w:sz="4" w:space="0" w:color="000000"/>
              <w:bottom w:val="double" w:sz="1" w:space="0" w:color="000000"/>
            </w:tcBorders>
            <w:vAlign w:val="center"/>
          </w:tcPr>
          <w:p w14:paraId="4A0CF8E9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Portugal</w:t>
            </w:r>
          </w:p>
        </w:tc>
        <w:tc>
          <w:tcPr>
            <w:tcW w:w="832" w:type="pct"/>
            <w:tcBorders>
              <w:top w:val="single" w:sz="4" w:space="0" w:color="000000"/>
              <w:bottom w:val="double" w:sz="1" w:space="0" w:color="000000"/>
            </w:tcBorders>
            <w:vAlign w:val="center"/>
          </w:tcPr>
          <w:p w14:paraId="6EB5D6B6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Slovak Republic</w:t>
            </w:r>
          </w:p>
        </w:tc>
        <w:tc>
          <w:tcPr>
            <w:tcW w:w="757" w:type="pct"/>
            <w:tcBorders>
              <w:top w:val="single" w:sz="4" w:space="0" w:color="000000"/>
              <w:bottom w:val="double" w:sz="1" w:space="0" w:color="000000"/>
            </w:tcBorders>
            <w:vAlign w:val="center"/>
          </w:tcPr>
          <w:p w14:paraId="50FAFCAD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United Kingdom</w:t>
            </w:r>
          </w:p>
        </w:tc>
      </w:tr>
      <w:tr w:rsidR="008E4876" w14:paraId="1A62336F" w14:textId="77777777" w:rsidTr="00D45A38">
        <w:trPr>
          <w:jc w:val="center"/>
        </w:trPr>
        <w:tc>
          <w:tcPr>
            <w:tcW w:w="1297" w:type="pct"/>
          </w:tcPr>
          <w:p w14:paraId="203E2A48" w14:textId="77777777" w:rsidR="008E4876" w:rsidRPr="0062116D" w:rsidRDefault="008E4876" w:rsidP="00D45A38">
            <w:pPr>
              <w:pStyle w:val="Maintextfirstline"/>
              <w:snapToGrid w:val="0"/>
              <w:spacing w:before="40" w:after="40"/>
              <w:rPr>
                <w:b/>
              </w:rPr>
            </w:pPr>
            <w:r w:rsidRPr="0062116D">
              <w:rPr>
                <w:b/>
              </w:rPr>
              <w:t>Before</w:t>
            </w:r>
          </w:p>
        </w:tc>
        <w:tc>
          <w:tcPr>
            <w:tcW w:w="670" w:type="pct"/>
          </w:tcPr>
          <w:p w14:paraId="0BE8D66A" w14:textId="77777777" w:rsidR="008E4876" w:rsidRDefault="008E4876" w:rsidP="00D45A38">
            <w:pPr>
              <w:snapToGrid w:val="0"/>
            </w:pPr>
          </w:p>
        </w:tc>
        <w:tc>
          <w:tcPr>
            <w:tcW w:w="733" w:type="pct"/>
          </w:tcPr>
          <w:p w14:paraId="7E765434" w14:textId="77777777" w:rsidR="008E4876" w:rsidRDefault="008E4876" w:rsidP="00D45A38">
            <w:pPr>
              <w:snapToGrid w:val="0"/>
            </w:pPr>
          </w:p>
        </w:tc>
        <w:tc>
          <w:tcPr>
            <w:tcW w:w="712" w:type="pct"/>
          </w:tcPr>
          <w:p w14:paraId="1C895BD5" w14:textId="77777777" w:rsidR="008E4876" w:rsidRDefault="008E4876" w:rsidP="00D45A38">
            <w:pPr>
              <w:snapToGrid w:val="0"/>
            </w:pPr>
          </w:p>
        </w:tc>
        <w:tc>
          <w:tcPr>
            <w:tcW w:w="832" w:type="pct"/>
          </w:tcPr>
          <w:p w14:paraId="5C94C77B" w14:textId="77777777" w:rsidR="008E4876" w:rsidRDefault="008E4876" w:rsidP="00D45A38">
            <w:pPr>
              <w:snapToGrid w:val="0"/>
            </w:pPr>
          </w:p>
        </w:tc>
        <w:tc>
          <w:tcPr>
            <w:tcW w:w="757" w:type="pct"/>
          </w:tcPr>
          <w:p w14:paraId="52B59000" w14:textId="77777777" w:rsidR="008E4876" w:rsidRDefault="008E4876" w:rsidP="00D45A38">
            <w:pPr>
              <w:snapToGrid w:val="0"/>
            </w:pPr>
          </w:p>
        </w:tc>
      </w:tr>
      <w:tr w:rsidR="008E4876" w:rsidRPr="00CC0675" w14:paraId="1B3B428A" w14:textId="77777777" w:rsidTr="00D45A38">
        <w:trPr>
          <w:jc w:val="center"/>
        </w:trPr>
        <w:tc>
          <w:tcPr>
            <w:tcW w:w="1297" w:type="pct"/>
          </w:tcPr>
          <w:p w14:paraId="445BDE39" w14:textId="77777777" w:rsidR="008E4876" w:rsidRDefault="008E4876" w:rsidP="00D45A38">
            <w:pPr>
              <w:pStyle w:val="Maintextfirstline"/>
              <w:snapToGrid w:val="0"/>
            </w:pPr>
            <w:r>
              <w:t xml:space="preserve">   Control</w:t>
            </w:r>
          </w:p>
          <w:p w14:paraId="136913B1" w14:textId="77777777" w:rsidR="008E4876" w:rsidRDefault="008E4876" w:rsidP="00D45A38">
            <w:pPr>
              <w:pStyle w:val="Maintext"/>
            </w:pPr>
            <w:r>
              <w:t xml:space="preserve">   Treated </w:t>
            </w:r>
          </w:p>
          <w:p w14:paraId="41251EC1" w14:textId="77777777" w:rsidR="008E4876" w:rsidRDefault="008E4876" w:rsidP="00D45A38">
            <w:pPr>
              <w:pStyle w:val="Maintext"/>
            </w:pPr>
            <w:r>
              <w:t xml:space="preserve">   Diff (T – C) </w:t>
            </w:r>
          </w:p>
          <w:p w14:paraId="4819A775" w14:textId="77777777" w:rsidR="008E4876" w:rsidRPr="0062116D" w:rsidRDefault="008E4876" w:rsidP="00D45A38">
            <w:pPr>
              <w:pStyle w:val="Maintext"/>
              <w:spacing w:before="120" w:after="40"/>
              <w:rPr>
                <w:b/>
              </w:rPr>
            </w:pPr>
            <w:r w:rsidRPr="0062116D">
              <w:rPr>
                <w:b/>
              </w:rPr>
              <w:t xml:space="preserve">After </w:t>
            </w:r>
          </w:p>
          <w:p w14:paraId="1B3A0913" w14:textId="77777777" w:rsidR="008E4876" w:rsidRDefault="008E4876" w:rsidP="00D45A38">
            <w:pPr>
              <w:pStyle w:val="Maintext"/>
            </w:pPr>
            <w:r>
              <w:t xml:space="preserve">   Control</w:t>
            </w:r>
          </w:p>
          <w:p w14:paraId="1C7AE204" w14:textId="77777777" w:rsidR="008E4876" w:rsidRDefault="008E4876" w:rsidP="00D45A38">
            <w:pPr>
              <w:pStyle w:val="Maintext"/>
            </w:pPr>
            <w:r>
              <w:t xml:space="preserve">   Treated</w:t>
            </w:r>
          </w:p>
          <w:p w14:paraId="313D6B33" w14:textId="77777777" w:rsidR="008E4876" w:rsidRDefault="008E4876" w:rsidP="00D45A38">
            <w:pPr>
              <w:pStyle w:val="Maintext"/>
            </w:pPr>
            <w:r>
              <w:t xml:space="preserve">   Diff (T – C)</w:t>
            </w:r>
          </w:p>
          <w:p w14:paraId="1C4662C4" w14:textId="77777777" w:rsidR="008E4876" w:rsidRDefault="008E4876" w:rsidP="00D45A38">
            <w:pPr>
              <w:pStyle w:val="Maintext"/>
            </w:pPr>
          </w:p>
          <w:p w14:paraId="5347A782" w14:textId="77777777" w:rsidR="008E4876" w:rsidRDefault="008E4876" w:rsidP="00D45A38">
            <w:pPr>
              <w:pStyle w:val="Maintext"/>
            </w:pPr>
          </w:p>
          <w:p w14:paraId="7EF209CE" w14:textId="77777777" w:rsidR="008E4876" w:rsidRPr="0062116D" w:rsidRDefault="008E4876" w:rsidP="00D45A38">
            <w:pPr>
              <w:pStyle w:val="Maintext"/>
              <w:rPr>
                <w:b/>
              </w:rPr>
            </w:pPr>
            <w:r w:rsidRPr="0062116D">
              <w:rPr>
                <w:b/>
              </w:rPr>
              <w:t>Diff-in-Diff</w:t>
            </w:r>
          </w:p>
        </w:tc>
        <w:tc>
          <w:tcPr>
            <w:tcW w:w="670" w:type="pct"/>
          </w:tcPr>
          <w:p w14:paraId="266F0D0A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66.64</w:t>
            </w:r>
          </w:p>
          <w:p w14:paraId="0D53ED03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60.33</w:t>
            </w:r>
          </w:p>
          <w:p w14:paraId="67B83E4A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>-6.31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223A918C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 w:rsidRPr="00573E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2.18</w:t>
            </w:r>
            <w:r w:rsidRPr="00573E9B">
              <w:rPr>
                <w:sz w:val="18"/>
                <w:szCs w:val="18"/>
              </w:rPr>
              <w:t>)</w:t>
            </w:r>
          </w:p>
          <w:p w14:paraId="3BEE7A95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</w:p>
          <w:p w14:paraId="46E16DFC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68.33</w:t>
            </w:r>
          </w:p>
          <w:p w14:paraId="51453DCE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61.87</w:t>
            </w:r>
          </w:p>
          <w:p w14:paraId="6860D8D5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>-6.46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666B4AC7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(1.82)</w:t>
            </w:r>
          </w:p>
          <w:p w14:paraId="3D20A79C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  <w:p w14:paraId="28CAD40E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(2.84)</w:t>
            </w:r>
          </w:p>
        </w:tc>
        <w:tc>
          <w:tcPr>
            <w:tcW w:w="733" w:type="pct"/>
          </w:tcPr>
          <w:p w14:paraId="0835E266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64.34</w:t>
            </w:r>
          </w:p>
          <w:p w14:paraId="163B1735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48.18</w:t>
            </w:r>
          </w:p>
          <w:p w14:paraId="73F60FE9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>-16.17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41CD5EAC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 w:rsidRPr="00573E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1.03</w:t>
            </w:r>
            <w:r w:rsidRPr="00573E9B">
              <w:rPr>
                <w:sz w:val="18"/>
                <w:szCs w:val="18"/>
              </w:rPr>
              <w:t>)</w:t>
            </w:r>
          </w:p>
          <w:p w14:paraId="7EB5BE3A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</w:p>
          <w:p w14:paraId="1D4FBDCB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66.71</w:t>
            </w:r>
          </w:p>
          <w:p w14:paraId="1730DF01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47.10</w:t>
            </w:r>
          </w:p>
          <w:p w14:paraId="48E7DD10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>-19.61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02189565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(.85)</w:t>
            </w:r>
          </w:p>
          <w:p w14:paraId="0427EA5C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-3.45</w:t>
            </w:r>
            <w:r w:rsidRPr="00573E9B">
              <w:rPr>
                <w:sz w:val="14"/>
                <w:szCs w:val="14"/>
                <w:vertAlign w:val="superscript"/>
              </w:rPr>
              <w:t>***</w:t>
            </w:r>
          </w:p>
          <w:p w14:paraId="0A56746A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(1.33)</w:t>
            </w:r>
          </w:p>
        </w:tc>
        <w:tc>
          <w:tcPr>
            <w:tcW w:w="712" w:type="pct"/>
          </w:tcPr>
          <w:p w14:paraId="31BCB854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72.20</w:t>
            </w:r>
          </w:p>
          <w:p w14:paraId="2FF83115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72.38</w:t>
            </w:r>
          </w:p>
          <w:p w14:paraId="5F7FB8E9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 xml:space="preserve"> 0.18</w:t>
            </w:r>
          </w:p>
          <w:p w14:paraId="41E5AB05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 w:rsidRPr="00573E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1.08</w:t>
            </w:r>
            <w:r w:rsidRPr="00573E9B">
              <w:rPr>
                <w:sz w:val="18"/>
                <w:szCs w:val="18"/>
              </w:rPr>
              <w:t>)</w:t>
            </w:r>
          </w:p>
          <w:p w14:paraId="22DEB9A2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</w:p>
          <w:p w14:paraId="55843505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68.58</w:t>
            </w:r>
          </w:p>
          <w:p w14:paraId="4BF2F15C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69.37</w:t>
            </w:r>
          </w:p>
          <w:p w14:paraId="42222984" w14:textId="77777777" w:rsidR="008E4876" w:rsidRPr="00573E9B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 xml:space="preserve"> 0.79</w:t>
            </w:r>
          </w:p>
          <w:p w14:paraId="339F97A7" w14:textId="77777777" w:rsidR="008E4876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(.90)</w:t>
            </w:r>
          </w:p>
          <w:p w14:paraId="0C89AE53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0.62</w:t>
            </w:r>
          </w:p>
          <w:p w14:paraId="18F152AA" w14:textId="77777777" w:rsidR="008E4876" w:rsidRPr="00573E9B" w:rsidRDefault="008E4876" w:rsidP="00D45A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(1.40)</w:t>
            </w:r>
          </w:p>
        </w:tc>
        <w:tc>
          <w:tcPr>
            <w:tcW w:w="832" w:type="pct"/>
          </w:tcPr>
          <w:p w14:paraId="7CFCF32F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75.94</w:t>
            </w:r>
          </w:p>
          <w:p w14:paraId="0F0A5175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62.18</w:t>
            </w:r>
          </w:p>
          <w:p w14:paraId="19E3A0E4" w14:textId="77777777" w:rsidR="008E4876" w:rsidRPr="00CC0675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 w:rsidRPr="00CC0675">
              <w:rPr>
                <w:sz w:val="18"/>
                <w:szCs w:val="18"/>
              </w:rPr>
              <w:t xml:space="preserve"> -13.76</w:t>
            </w:r>
            <w:r w:rsidRPr="00CC0675">
              <w:rPr>
                <w:sz w:val="18"/>
                <w:szCs w:val="18"/>
                <w:vertAlign w:val="superscript"/>
              </w:rPr>
              <w:t>***</w:t>
            </w:r>
          </w:p>
          <w:p w14:paraId="4CA004D2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(1.30)</w:t>
            </w:r>
          </w:p>
          <w:p w14:paraId="31E5DCC2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</w:p>
          <w:p w14:paraId="5A52CA9A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76.10</w:t>
            </w:r>
          </w:p>
          <w:p w14:paraId="353364C4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65.01</w:t>
            </w:r>
          </w:p>
          <w:p w14:paraId="0FAD7F7C" w14:textId="77777777" w:rsidR="008E4876" w:rsidRPr="00CC0675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 w:rsidRPr="00CC0675">
              <w:rPr>
                <w:sz w:val="18"/>
                <w:szCs w:val="18"/>
              </w:rPr>
              <w:t xml:space="preserve"> -11.09</w:t>
            </w:r>
            <w:r w:rsidRPr="00CC0675">
              <w:rPr>
                <w:sz w:val="18"/>
                <w:szCs w:val="18"/>
                <w:vertAlign w:val="superscript"/>
              </w:rPr>
              <w:t>***</w:t>
            </w:r>
          </w:p>
          <w:p w14:paraId="0E006814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(1.08)</w:t>
            </w:r>
          </w:p>
          <w:p w14:paraId="40A58B4D" w14:textId="77777777" w:rsidR="008E4876" w:rsidRPr="00CC0675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 xml:space="preserve"> 2.66</w:t>
            </w:r>
          </w:p>
          <w:p w14:paraId="29DDE01E" w14:textId="77777777" w:rsidR="008E4876" w:rsidRPr="00CC0675" w:rsidRDefault="008E4876" w:rsidP="00D45A38">
            <w:pPr>
              <w:snapToGrid w:val="0"/>
              <w:rPr>
                <w:sz w:val="18"/>
                <w:szCs w:val="18"/>
                <w:highlight w:val="yellow"/>
              </w:rPr>
            </w:pPr>
            <w:r w:rsidRPr="00CC0675">
              <w:rPr>
                <w:sz w:val="18"/>
                <w:szCs w:val="18"/>
              </w:rPr>
              <w:t>(1.69)</w:t>
            </w:r>
          </w:p>
        </w:tc>
        <w:tc>
          <w:tcPr>
            <w:tcW w:w="757" w:type="pct"/>
          </w:tcPr>
          <w:p w14:paraId="3FEB9BE4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75.45</w:t>
            </w:r>
          </w:p>
          <w:p w14:paraId="4CC84E1F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72.34</w:t>
            </w:r>
          </w:p>
          <w:p w14:paraId="3B69E25D" w14:textId="77777777" w:rsidR="008E4876" w:rsidRPr="00CC0675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 w:rsidRPr="00CC0675">
              <w:rPr>
                <w:sz w:val="18"/>
                <w:szCs w:val="18"/>
              </w:rPr>
              <w:t xml:space="preserve"> -3.11</w:t>
            </w:r>
            <w:r w:rsidRPr="00CC0675">
              <w:rPr>
                <w:sz w:val="18"/>
                <w:szCs w:val="18"/>
                <w:vertAlign w:val="superscript"/>
              </w:rPr>
              <w:t>***</w:t>
            </w:r>
          </w:p>
          <w:p w14:paraId="681DE139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(.89)</w:t>
            </w:r>
          </w:p>
          <w:p w14:paraId="5D5646EF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</w:p>
          <w:p w14:paraId="51EC28FF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75.74</w:t>
            </w:r>
          </w:p>
          <w:p w14:paraId="6BEDA73C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74.31</w:t>
            </w:r>
          </w:p>
          <w:p w14:paraId="17359885" w14:textId="77777777" w:rsidR="008E4876" w:rsidRPr="00CC0675" w:rsidRDefault="008E4876" w:rsidP="00D45A38">
            <w:pPr>
              <w:snapToGrid w:val="0"/>
              <w:rPr>
                <w:sz w:val="14"/>
                <w:szCs w:val="14"/>
                <w:vertAlign w:val="superscript"/>
              </w:rPr>
            </w:pPr>
            <w:r w:rsidRPr="00CC0675">
              <w:rPr>
                <w:sz w:val="18"/>
                <w:szCs w:val="18"/>
              </w:rPr>
              <w:t xml:space="preserve"> -1.42</w:t>
            </w:r>
            <w:r w:rsidRPr="00CC0675">
              <w:rPr>
                <w:sz w:val="18"/>
                <w:szCs w:val="18"/>
                <w:vertAlign w:val="superscript"/>
              </w:rPr>
              <w:t>*</w:t>
            </w:r>
          </w:p>
          <w:p w14:paraId="7E28D332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(.74)</w:t>
            </w:r>
          </w:p>
          <w:p w14:paraId="7F3B1DCC" w14:textId="77777777" w:rsidR="008E4876" w:rsidRPr="00CC0675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 xml:space="preserve"> 1.68</w:t>
            </w:r>
          </w:p>
          <w:p w14:paraId="19F30609" w14:textId="77777777" w:rsidR="008E4876" w:rsidRPr="00CC0675" w:rsidRDefault="008E4876" w:rsidP="00D45A38">
            <w:pPr>
              <w:snapToGrid w:val="0"/>
              <w:rPr>
                <w:sz w:val="18"/>
                <w:szCs w:val="18"/>
              </w:rPr>
            </w:pPr>
            <w:r w:rsidRPr="00CC0675">
              <w:rPr>
                <w:sz w:val="18"/>
                <w:szCs w:val="18"/>
              </w:rPr>
              <w:t>(1.16)</w:t>
            </w:r>
          </w:p>
        </w:tc>
      </w:tr>
      <w:tr w:rsidR="008E4876" w:rsidRPr="00CC0675" w14:paraId="51CB3B8A" w14:textId="77777777" w:rsidTr="00D45A38">
        <w:trPr>
          <w:jc w:val="center"/>
        </w:trPr>
        <w:tc>
          <w:tcPr>
            <w:tcW w:w="1297" w:type="pct"/>
            <w:tcBorders>
              <w:bottom w:val="single" w:sz="4" w:space="0" w:color="auto"/>
            </w:tcBorders>
          </w:tcPr>
          <w:p w14:paraId="4B74759C" w14:textId="77777777" w:rsidR="008E4876" w:rsidRDefault="008E4876" w:rsidP="00D45A38">
            <w:pPr>
              <w:pStyle w:val="Maintextfirstline"/>
              <w:snapToGrid w:val="0"/>
              <w:spacing w:before="120"/>
            </w:pPr>
            <w:r w:rsidRPr="00F97B48">
              <w:rPr>
                <w:b/>
              </w:rPr>
              <w:t>Parallel Assumption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14:paraId="4DD0B478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14:paraId="5AA82E6B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01099C03" w14:textId="77777777" w:rsidR="008E4876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68B2CA19" w14:textId="77777777" w:rsidR="008E4876" w:rsidRPr="00CC0675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6.94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14:paraId="2E0004F7" w14:textId="77777777" w:rsidR="008E4876" w:rsidRPr="00CC0675" w:rsidRDefault="008E4876" w:rsidP="00D45A38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</w:tr>
    </w:tbl>
    <w:p w14:paraId="7CB805BB" w14:textId="77777777" w:rsidR="008E4876" w:rsidRDefault="008E4876" w:rsidP="008E4876">
      <w:pPr>
        <w:pStyle w:val="Didascalia4"/>
      </w:pPr>
      <w:r w:rsidRPr="000B7EBC">
        <w:rPr>
          <w:bCs/>
          <w:i/>
        </w:rPr>
        <w:t>*Significant at 10%; **Significant at 5%; ***Significant at 1%; Standard errors in brackets.</w:t>
      </w:r>
    </w:p>
    <w:p w14:paraId="3AC0C6A7" w14:textId="77777777" w:rsidR="008E4876" w:rsidRPr="00FC3788" w:rsidRDefault="008E4876" w:rsidP="008E4876">
      <w:pPr>
        <w:pStyle w:val="Maintextfirstline"/>
        <w:rPr>
          <w:szCs w:val="18"/>
        </w:rPr>
      </w:pPr>
    </w:p>
    <w:p w14:paraId="1091C7EB" w14:textId="77777777" w:rsidR="00CC56B5" w:rsidRDefault="00643B8F" w:rsidP="00F71BA1">
      <w:pPr>
        <w:pStyle w:val="Maintext"/>
        <w:ind w:firstLine="284"/>
        <w:rPr>
          <w:sz w:val="20"/>
        </w:rPr>
      </w:pPr>
      <w:r w:rsidRPr="00110A02">
        <w:rPr>
          <w:sz w:val="20"/>
        </w:rPr>
        <w:t>Italy and Germany</w:t>
      </w:r>
      <w:r w:rsidR="009D45C6" w:rsidRPr="00110A02">
        <w:rPr>
          <w:sz w:val="20"/>
        </w:rPr>
        <w:t xml:space="preserve"> </w:t>
      </w:r>
      <w:r w:rsidR="004E6069">
        <w:rPr>
          <w:sz w:val="20"/>
        </w:rPr>
        <w:t>show op</w:t>
      </w:r>
      <w:r w:rsidR="00F71BA1">
        <w:rPr>
          <w:sz w:val="20"/>
        </w:rPr>
        <w:t xml:space="preserve">posite effects of the 2007-2013 funding. </w:t>
      </w:r>
      <w:r w:rsidR="004E6069">
        <w:rPr>
          <w:sz w:val="20"/>
        </w:rPr>
        <w:t>I</w:t>
      </w:r>
      <w:r w:rsidRPr="00110A02">
        <w:rPr>
          <w:sz w:val="20"/>
        </w:rPr>
        <w:t xml:space="preserve">n Germany, the employment divide between </w:t>
      </w:r>
      <w:r w:rsidR="007B4556">
        <w:rPr>
          <w:sz w:val="20"/>
        </w:rPr>
        <w:t>the treated and untreated r</w:t>
      </w:r>
      <w:r w:rsidR="004E6069">
        <w:rPr>
          <w:sz w:val="20"/>
        </w:rPr>
        <w:t xml:space="preserve">egions </w:t>
      </w:r>
      <w:r w:rsidRPr="00110A02">
        <w:rPr>
          <w:sz w:val="20"/>
        </w:rPr>
        <w:t xml:space="preserve">is </w:t>
      </w:r>
      <w:r w:rsidR="00B811E0" w:rsidRPr="00110A02">
        <w:rPr>
          <w:sz w:val="20"/>
        </w:rPr>
        <w:t xml:space="preserve">practically disappeared </w:t>
      </w:r>
      <w:r w:rsidR="00C51EB6" w:rsidRPr="00110A02">
        <w:rPr>
          <w:sz w:val="20"/>
        </w:rPr>
        <w:t>after the treatment</w:t>
      </w:r>
      <w:r w:rsidR="004E6069">
        <w:rPr>
          <w:sz w:val="20"/>
        </w:rPr>
        <w:t xml:space="preserve">, and more </w:t>
      </w:r>
      <w:r w:rsidR="004E6069" w:rsidRPr="004E6069">
        <w:rPr>
          <w:sz w:val="20"/>
        </w:rPr>
        <w:t xml:space="preserve">importantly, the EU target of 75% of the population </w:t>
      </w:r>
      <w:r w:rsidR="00F71BA1">
        <w:rPr>
          <w:sz w:val="20"/>
        </w:rPr>
        <w:t xml:space="preserve">employed has </w:t>
      </w:r>
      <w:r w:rsidR="004E6069">
        <w:rPr>
          <w:sz w:val="20"/>
        </w:rPr>
        <w:t>been reached</w:t>
      </w:r>
      <w:r w:rsidR="00F71BA1">
        <w:rPr>
          <w:sz w:val="20"/>
        </w:rPr>
        <w:t>, on average,</w:t>
      </w:r>
      <w:r w:rsidR="004E6069">
        <w:rPr>
          <w:sz w:val="20"/>
        </w:rPr>
        <w:t xml:space="preserve"> in both groups of regions</w:t>
      </w:r>
      <w:r w:rsidR="00F71BA1">
        <w:rPr>
          <w:sz w:val="20"/>
        </w:rPr>
        <w:t xml:space="preserve"> long before the date appointed by the EU 2020 Strategy</w:t>
      </w:r>
      <w:r w:rsidR="004E6069">
        <w:rPr>
          <w:sz w:val="20"/>
        </w:rPr>
        <w:t xml:space="preserve">. </w:t>
      </w:r>
      <w:r w:rsidR="00B811E0" w:rsidRPr="004E6069">
        <w:rPr>
          <w:sz w:val="20"/>
        </w:rPr>
        <w:t>I</w:t>
      </w:r>
      <w:r w:rsidRPr="004E6069">
        <w:rPr>
          <w:sz w:val="20"/>
        </w:rPr>
        <w:t>n</w:t>
      </w:r>
      <w:r w:rsidR="00F71BA1">
        <w:rPr>
          <w:sz w:val="20"/>
        </w:rPr>
        <w:t>stead, in</w:t>
      </w:r>
      <w:r w:rsidRPr="004E6069">
        <w:rPr>
          <w:sz w:val="20"/>
        </w:rPr>
        <w:t xml:space="preserve"> Italy</w:t>
      </w:r>
      <w:r w:rsidR="00B811E0" w:rsidRPr="004E6069">
        <w:rPr>
          <w:sz w:val="20"/>
        </w:rPr>
        <w:t>,</w:t>
      </w:r>
      <w:r w:rsidRPr="004E6069">
        <w:rPr>
          <w:sz w:val="20"/>
        </w:rPr>
        <w:t xml:space="preserve"> the two groups</w:t>
      </w:r>
      <w:r w:rsidR="00F71BA1">
        <w:rPr>
          <w:sz w:val="20"/>
        </w:rPr>
        <w:t xml:space="preserve"> of regions</w:t>
      </w:r>
      <w:r w:rsidRPr="004E6069">
        <w:rPr>
          <w:sz w:val="20"/>
        </w:rPr>
        <w:t xml:space="preserve"> </w:t>
      </w:r>
      <w:r w:rsidR="00C5589C">
        <w:rPr>
          <w:sz w:val="20"/>
        </w:rPr>
        <w:t xml:space="preserve">show an increased </w:t>
      </w:r>
      <w:r w:rsidR="00491658" w:rsidRPr="004E6069">
        <w:rPr>
          <w:sz w:val="20"/>
        </w:rPr>
        <w:t xml:space="preserve">gap in </w:t>
      </w:r>
      <w:r w:rsidRPr="004E6069">
        <w:rPr>
          <w:sz w:val="20"/>
        </w:rPr>
        <w:t>average rate</w:t>
      </w:r>
      <w:r w:rsidR="00FC639B" w:rsidRPr="004E6069">
        <w:rPr>
          <w:sz w:val="20"/>
        </w:rPr>
        <w:t>s of employment</w:t>
      </w:r>
      <w:r w:rsidR="00C5589C">
        <w:rPr>
          <w:sz w:val="20"/>
        </w:rPr>
        <w:t xml:space="preserve"> such that the diff-in-diff estimate is </w:t>
      </w:r>
      <w:r w:rsidR="00FC639B" w:rsidRPr="00110A02">
        <w:rPr>
          <w:sz w:val="20"/>
        </w:rPr>
        <w:t>even negativ</w:t>
      </w:r>
      <w:r w:rsidR="0062664E" w:rsidRPr="00110A02">
        <w:rPr>
          <w:sz w:val="20"/>
        </w:rPr>
        <w:t>e</w:t>
      </w:r>
      <w:r w:rsidR="00110A02" w:rsidRPr="00110A02">
        <w:rPr>
          <w:sz w:val="20"/>
        </w:rPr>
        <w:t>. Italian r</w:t>
      </w:r>
      <w:r w:rsidR="0062664E" w:rsidRPr="00110A02">
        <w:rPr>
          <w:sz w:val="20"/>
        </w:rPr>
        <w:t>egions exposed to c</w:t>
      </w:r>
      <w:r w:rsidRPr="00110A02">
        <w:rPr>
          <w:sz w:val="20"/>
        </w:rPr>
        <w:t xml:space="preserve">onvergence </w:t>
      </w:r>
      <w:r w:rsidR="00F71BA1">
        <w:rPr>
          <w:sz w:val="20"/>
        </w:rPr>
        <w:t>retain</w:t>
      </w:r>
      <w:r w:rsidR="00AA52B9">
        <w:rPr>
          <w:sz w:val="20"/>
        </w:rPr>
        <w:t>, on average,</w:t>
      </w:r>
      <w:r w:rsidRPr="00110A02">
        <w:rPr>
          <w:sz w:val="20"/>
        </w:rPr>
        <w:t xml:space="preserve"> </w:t>
      </w:r>
      <w:r w:rsidR="00495A08">
        <w:rPr>
          <w:sz w:val="20"/>
        </w:rPr>
        <w:t xml:space="preserve">significant </w:t>
      </w:r>
      <w:r w:rsidR="0062664E" w:rsidRPr="00110A02">
        <w:rPr>
          <w:sz w:val="20"/>
        </w:rPr>
        <w:t xml:space="preserve">lower </w:t>
      </w:r>
      <w:r w:rsidRPr="00110A02">
        <w:rPr>
          <w:sz w:val="20"/>
        </w:rPr>
        <w:t>level</w:t>
      </w:r>
      <w:r w:rsidR="0062664E" w:rsidRPr="00110A02">
        <w:rPr>
          <w:sz w:val="20"/>
        </w:rPr>
        <w:t>s</w:t>
      </w:r>
      <w:r w:rsidRPr="00110A02">
        <w:rPr>
          <w:sz w:val="20"/>
        </w:rPr>
        <w:t xml:space="preserve"> </w:t>
      </w:r>
      <w:r w:rsidR="006F11DC">
        <w:rPr>
          <w:sz w:val="20"/>
        </w:rPr>
        <w:t xml:space="preserve">of </w:t>
      </w:r>
      <w:r w:rsidR="006F11DC" w:rsidRPr="00110A02">
        <w:rPr>
          <w:sz w:val="20"/>
        </w:rPr>
        <w:t xml:space="preserve">employment </w:t>
      </w:r>
      <w:r w:rsidRPr="00110A02">
        <w:rPr>
          <w:sz w:val="20"/>
        </w:rPr>
        <w:t>than</w:t>
      </w:r>
      <w:r w:rsidR="00110A02" w:rsidRPr="00110A02">
        <w:rPr>
          <w:sz w:val="20"/>
        </w:rPr>
        <w:t xml:space="preserve"> those</w:t>
      </w:r>
      <w:r w:rsidRPr="00110A02">
        <w:rPr>
          <w:sz w:val="20"/>
        </w:rPr>
        <w:t xml:space="preserve"> </w:t>
      </w:r>
      <w:r w:rsidR="00110A02" w:rsidRPr="00110A02">
        <w:rPr>
          <w:sz w:val="20"/>
        </w:rPr>
        <w:t xml:space="preserve">of </w:t>
      </w:r>
      <w:r w:rsidR="006F11DC">
        <w:rPr>
          <w:sz w:val="20"/>
        </w:rPr>
        <w:t xml:space="preserve">the </w:t>
      </w:r>
      <w:r w:rsidRPr="00110A02">
        <w:rPr>
          <w:sz w:val="20"/>
        </w:rPr>
        <w:t>control group</w:t>
      </w:r>
      <w:r w:rsidR="00A82214">
        <w:rPr>
          <w:sz w:val="20"/>
        </w:rPr>
        <w:t>: they still have a long way to go before converging</w:t>
      </w:r>
      <w:r w:rsidR="005F711E">
        <w:rPr>
          <w:sz w:val="20"/>
        </w:rPr>
        <w:t xml:space="preserve"> in employment</w:t>
      </w:r>
      <w:r w:rsidRPr="00110A02">
        <w:rPr>
          <w:sz w:val="20"/>
        </w:rPr>
        <w:t>.</w:t>
      </w:r>
    </w:p>
    <w:p w14:paraId="43AF2E47" w14:textId="77777777" w:rsidR="00F67C4D" w:rsidRPr="00F67C4D" w:rsidRDefault="00606FF8" w:rsidP="00F67C4D">
      <w:pPr>
        <w:pStyle w:val="Subsectionheading"/>
        <w:numPr>
          <w:ilvl w:val="1"/>
          <w:numId w:val="8"/>
        </w:numPr>
        <w:tabs>
          <w:tab w:val="left" w:pos="284"/>
        </w:tabs>
        <w:ind w:left="284" w:hanging="284"/>
      </w:pPr>
      <w:r>
        <w:lastRenderedPageBreak/>
        <w:t xml:space="preserve">The </w:t>
      </w:r>
      <w:r w:rsidR="00F67C4D">
        <w:t xml:space="preserve">Italian context  </w:t>
      </w:r>
      <w:r w:rsidR="00F67C4D" w:rsidRPr="00F67C4D">
        <w:rPr>
          <w:lang w:val="en-GB"/>
        </w:rPr>
        <w:t xml:space="preserve"> </w:t>
      </w:r>
    </w:p>
    <w:p w14:paraId="328F4491" w14:textId="77777777" w:rsidR="00212D1D" w:rsidRDefault="00422DCE" w:rsidP="008E4876">
      <w:pPr>
        <w:pStyle w:val="Maintext"/>
        <w:rPr>
          <w:sz w:val="20"/>
        </w:rPr>
      </w:pPr>
      <w:r>
        <w:rPr>
          <w:sz w:val="20"/>
        </w:rPr>
        <w:t>W</w:t>
      </w:r>
      <w:r w:rsidR="008E4876" w:rsidRPr="00E205B0">
        <w:rPr>
          <w:sz w:val="20"/>
        </w:rPr>
        <w:t xml:space="preserve">ith the aim </w:t>
      </w:r>
      <w:r>
        <w:rPr>
          <w:sz w:val="20"/>
        </w:rPr>
        <w:t xml:space="preserve">of exploring the main reasons behind the potential </w:t>
      </w:r>
      <w:r w:rsidR="008E4876" w:rsidRPr="00E205B0">
        <w:rPr>
          <w:sz w:val="20"/>
        </w:rPr>
        <w:t>failure</w:t>
      </w:r>
      <w:r>
        <w:rPr>
          <w:sz w:val="20"/>
        </w:rPr>
        <w:t xml:space="preserve"> of the EU funding policies</w:t>
      </w:r>
      <w:r w:rsidR="005F711E">
        <w:rPr>
          <w:sz w:val="20"/>
        </w:rPr>
        <w:t xml:space="preserve"> in Italy</w:t>
      </w:r>
      <w:r w:rsidR="000C7F54">
        <w:rPr>
          <w:sz w:val="20"/>
        </w:rPr>
        <w:t xml:space="preserve"> and how </w:t>
      </w:r>
      <w:r w:rsidR="000C7F54" w:rsidRPr="00E205B0">
        <w:rPr>
          <w:sz w:val="20"/>
        </w:rPr>
        <w:t xml:space="preserve">much of the lack of regional convergence can be attributed to the incapacity of the </w:t>
      </w:r>
      <w:r w:rsidR="00183B50">
        <w:rPr>
          <w:sz w:val="20"/>
        </w:rPr>
        <w:t xml:space="preserve">Country and </w:t>
      </w:r>
      <w:r w:rsidR="00830103">
        <w:rPr>
          <w:sz w:val="20"/>
        </w:rPr>
        <w:t xml:space="preserve">its </w:t>
      </w:r>
      <w:r w:rsidR="007B4556">
        <w:rPr>
          <w:sz w:val="20"/>
        </w:rPr>
        <w:t>recipient</w:t>
      </w:r>
      <w:r w:rsidR="000C7F54" w:rsidRPr="00E205B0">
        <w:rPr>
          <w:sz w:val="20"/>
        </w:rPr>
        <w:t xml:space="preserve"> regions to generate economic </w:t>
      </w:r>
      <w:r w:rsidR="00D17EFD">
        <w:rPr>
          <w:sz w:val="20"/>
        </w:rPr>
        <w:t>growth</w:t>
      </w:r>
      <w:r w:rsidR="000C7F54" w:rsidRPr="00E205B0">
        <w:rPr>
          <w:sz w:val="20"/>
        </w:rPr>
        <w:t xml:space="preserve">, we </w:t>
      </w:r>
      <w:r w:rsidR="00183B50">
        <w:rPr>
          <w:sz w:val="20"/>
        </w:rPr>
        <w:t>perform</w:t>
      </w:r>
      <w:r w:rsidR="000C7F54" w:rsidRPr="00E205B0">
        <w:rPr>
          <w:sz w:val="20"/>
        </w:rPr>
        <w:t xml:space="preserve"> a </w:t>
      </w:r>
      <w:proofErr w:type="gramStart"/>
      <w:r w:rsidR="000C7F54" w:rsidRPr="00E205B0">
        <w:rPr>
          <w:sz w:val="20"/>
        </w:rPr>
        <w:t>DiD</w:t>
      </w:r>
      <w:proofErr w:type="gramEnd"/>
      <w:r w:rsidR="000C7F54" w:rsidRPr="00E205B0">
        <w:rPr>
          <w:sz w:val="20"/>
        </w:rPr>
        <w:t xml:space="preserve"> </w:t>
      </w:r>
      <w:r w:rsidR="00183B50">
        <w:rPr>
          <w:sz w:val="20"/>
        </w:rPr>
        <w:t>model by includ</w:t>
      </w:r>
      <w:r w:rsidR="00D4345C">
        <w:rPr>
          <w:sz w:val="20"/>
        </w:rPr>
        <w:t>i</w:t>
      </w:r>
      <w:r w:rsidR="00183B50">
        <w:rPr>
          <w:sz w:val="20"/>
        </w:rPr>
        <w:t xml:space="preserve">ng a set of control variables </w:t>
      </w:r>
      <w:r w:rsidR="000C7F54" w:rsidRPr="00E205B0">
        <w:rPr>
          <w:sz w:val="20"/>
        </w:rPr>
        <w:t xml:space="preserve">(see Section </w:t>
      </w:r>
      <w:r w:rsidR="00830103">
        <w:rPr>
          <w:sz w:val="20"/>
        </w:rPr>
        <w:t>2</w:t>
      </w:r>
      <w:r w:rsidR="000C7F54" w:rsidRPr="00E205B0">
        <w:rPr>
          <w:sz w:val="20"/>
        </w:rPr>
        <w:t>).</w:t>
      </w:r>
      <w:r w:rsidR="008E4876" w:rsidRPr="00E205B0">
        <w:rPr>
          <w:sz w:val="20"/>
        </w:rPr>
        <w:t xml:space="preserve"> </w:t>
      </w:r>
      <w:r w:rsidR="00D17EFD">
        <w:rPr>
          <w:sz w:val="20"/>
        </w:rPr>
        <w:t>In</w:t>
      </w:r>
      <w:r w:rsidR="00AC7E5F">
        <w:rPr>
          <w:sz w:val="20"/>
        </w:rPr>
        <w:t xml:space="preserve"> fact</w:t>
      </w:r>
      <w:r w:rsidR="00F72ED2">
        <w:rPr>
          <w:sz w:val="20"/>
        </w:rPr>
        <w:t xml:space="preserve">, </w:t>
      </w:r>
      <w:r w:rsidR="005F711E">
        <w:rPr>
          <w:sz w:val="20"/>
        </w:rPr>
        <w:t>t</w:t>
      </w:r>
      <w:r w:rsidR="008E4876" w:rsidRPr="00E205B0">
        <w:rPr>
          <w:sz w:val="20"/>
        </w:rPr>
        <w:t>he impact of E</w:t>
      </w:r>
      <w:r w:rsidR="005F711E">
        <w:rPr>
          <w:sz w:val="20"/>
        </w:rPr>
        <w:t xml:space="preserve">U </w:t>
      </w:r>
      <w:r w:rsidR="008E4876" w:rsidRPr="00E205B0">
        <w:rPr>
          <w:sz w:val="20"/>
        </w:rPr>
        <w:t xml:space="preserve">funds on economic </w:t>
      </w:r>
      <w:r w:rsidR="00D17EFD">
        <w:rPr>
          <w:sz w:val="20"/>
        </w:rPr>
        <w:t>development</w:t>
      </w:r>
      <w:r w:rsidR="008E4876" w:rsidRPr="00E205B0">
        <w:rPr>
          <w:sz w:val="20"/>
        </w:rPr>
        <w:t xml:space="preserve"> </w:t>
      </w:r>
      <w:r w:rsidR="00D17EFD">
        <w:rPr>
          <w:sz w:val="20"/>
        </w:rPr>
        <w:t xml:space="preserve">cannot avoid </w:t>
      </w:r>
      <w:r w:rsidR="00830103">
        <w:rPr>
          <w:sz w:val="20"/>
        </w:rPr>
        <w:t xml:space="preserve">some </w:t>
      </w:r>
      <w:r w:rsidR="000C7F54">
        <w:rPr>
          <w:sz w:val="20"/>
        </w:rPr>
        <w:t>institution</w:t>
      </w:r>
      <w:r w:rsidR="00D17EFD">
        <w:rPr>
          <w:sz w:val="20"/>
        </w:rPr>
        <w:t>a</w:t>
      </w:r>
      <w:r w:rsidR="000C7F54">
        <w:rPr>
          <w:sz w:val="20"/>
        </w:rPr>
        <w:t xml:space="preserve">l, </w:t>
      </w:r>
      <w:r w:rsidR="004B323C">
        <w:rPr>
          <w:sz w:val="20"/>
        </w:rPr>
        <w:t>political</w:t>
      </w:r>
      <w:r w:rsidR="00D17EFD">
        <w:rPr>
          <w:sz w:val="20"/>
        </w:rPr>
        <w:t>, and socio-</w:t>
      </w:r>
      <w:r w:rsidR="004B323C">
        <w:rPr>
          <w:sz w:val="20"/>
        </w:rPr>
        <w:t xml:space="preserve">economic </w:t>
      </w:r>
      <w:r w:rsidR="008E4876" w:rsidRPr="00E205B0">
        <w:rPr>
          <w:sz w:val="20"/>
        </w:rPr>
        <w:t>factors</w:t>
      </w:r>
      <w:r w:rsidR="00212D1D">
        <w:rPr>
          <w:sz w:val="20"/>
        </w:rPr>
        <w:t>.</w:t>
      </w:r>
    </w:p>
    <w:p w14:paraId="3D46424C" w14:textId="2E223F81" w:rsidR="008E4876" w:rsidRPr="00E205B0" w:rsidRDefault="00212D1D" w:rsidP="00212D1D">
      <w:pPr>
        <w:pStyle w:val="Maintext"/>
        <w:ind w:firstLine="284"/>
        <w:rPr>
          <w:sz w:val="20"/>
        </w:rPr>
      </w:pPr>
      <w:r>
        <w:rPr>
          <w:sz w:val="20"/>
        </w:rPr>
        <w:t>The a</w:t>
      </w:r>
      <w:r w:rsidR="008E4876" w:rsidRPr="00E205B0">
        <w:rPr>
          <w:sz w:val="20"/>
        </w:rPr>
        <w:t>nalysis is car</w:t>
      </w:r>
      <w:r w:rsidR="008E4876">
        <w:rPr>
          <w:sz w:val="20"/>
        </w:rPr>
        <w:t xml:space="preserve">ried out by using </w:t>
      </w:r>
      <w:r>
        <w:rPr>
          <w:sz w:val="20"/>
        </w:rPr>
        <w:t xml:space="preserve">a </w:t>
      </w:r>
      <w:r w:rsidR="008E4876">
        <w:rPr>
          <w:sz w:val="20"/>
        </w:rPr>
        <w:t>log-log model</w:t>
      </w:r>
      <w:r w:rsidR="008E4876" w:rsidRPr="00E205B0">
        <w:rPr>
          <w:sz w:val="20"/>
        </w:rPr>
        <w:t xml:space="preserve"> in which </w:t>
      </w:r>
      <w:r w:rsidR="00CA0FA8">
        <w:rPr>
          <w:sz w:val="20"/>
        </w:rPr>
        <w:t>each</w:t>
      </w:r>
      <w:r w:rsidR="008E4876" w:rsidRPr="00E205B0">
        <w:rPr>
          <w:sz w:val="20"/>
        </w:rPr>
        <w:t xml:space="preserve"> coefficient</w:t>
      </w:r>
      <w:r w:rsidR="00CA0FA8">
        <w:rPr>
          <w:sz w:val="20"/>
        </w:rPr>
        <w:t xml:space="preserve"> (except for those of the IQI dimensions) </w:t>
      </w:r>
      <w:r w:rsidR="008E4876" w:rsidRPr="00E205B0">
        <w:rPr>
          <w:sz w:val="20"/>
        </w:rPr>
        <w:t>represent</w:t>
      </w:r>
      <w:r w:rsidR="00CA0FA8">
        <w:rPr>
          <w:sz w:val="20"/>
        </w:rPr>
        <w:t>s</w:t>
      </w:r>
      <w:r w:rsidR="008E4876" w:rsidRPr="00E205B0">
        <w:rPr>
          <w:sz w:val="20"/>
        </w:rPr>
        <w:t xml:space="preserve"> the percen</w:t>
      </w:r>
      <w:r>
        <w:rPr>
          <w:sz w:val="20"/>
        </w:rPr>
        <w:t>t</w:t>
      </w:r>
      <w:r w:rsidR="008E4876" w:rsidRPr="00E205B0">
        <w:rPr>
          <w:sz w:val="20"/>
        </w:rPr>
        <w:t>age change in</w:t>
      </w:r>
      <w:r w:rsidR="00CA0FA8">
        <w:rPr>
          <w:sz w:val="20"/>
        </w:rPr>
        <w:t xml:space="preserve"> the </w:t>
      </w:r>
      <w:r w:rsidR="008E4876" w:rsidRPr="00E205B0">
        <w:rPr>
          <w:sz w:val="20"/>
        </w:rPr>
        <w:t>employment rate for a percent</w:t>
      </w:r>
      <w:r>
        <w:rPr>
          <w:sz w:val="20"/>
        </w:rPr>
        <w:t>age</w:t>
      </w:r>
      <w:r w:rsidR="008E4876" w:rsidRPr="00E205B0">
        <w:rPr>
          <w:sz w:val="20"/>
        </w:rPr>
        <w:t xml:space="preserve"> change </w:t>
      </w:r>
      <w:r w:rsidR="00CA0FA8">
        <w:rPr>
          <w:sz w:val="20"/>
        </w:rPr>
        <w:t>in</w:t>
      </w:r>
      <w:r w:rsidR="008E4876" w:rsidRPr="00E205B0">
        <w:rPr>
          <w:sz w:val="20"/>
        </w:rPr>
        <w:t xml:space="preserve"> </w:t>
      </w:r>
      <w:r w:rsidR="00CA0FA8">
        <w:rPr>
          <w:sz w:val="20"/>
        </w:rPr>
        <w:t>the</w:t>
      </w:r>
      <w:r w:rsidR="008E4876" w:rsidRPr="00E205B0">
        <w:rPr>
          <w:sz w:val="20"/>
        </w:rPr>
        <w:t xml:space="preserve"> given covariate (</w:t>
      </w:r>
      <w:r>
        <w:rPr>
          <w:sz w:val="20"/>
        </w:rPr>
        <w:t xml:space="preserve">i.e., </w:t>
      </w:r>
      <w:r w:rsidR="008E4876" w:rsidRPr="00E205B0">
        <w:rPr>
          <w:sz w:val="20"/>
        </w:rPr>
        <w:t>elasticity of the dependent variable with respect to covariate</w:t>
      </w:r>
      <w:r w:rsidR="00771ADC">
        <w:rPr>
          <w:sz w:val="20"/>
        </w:rPr>
        <w:t>s</w:t>
      </w:r>
      <w:r w:rsidR="008E4876" w:rsidRPr="00E205B0">
        <w:rPr>
          <w:sz w:val="20"/>
        </w:rPr>
        <w:t xml:space="preserve">). </w:t>
      </w:r>
      <w:r w:rsidR="00771ADC">
        <w:rPr>
          <w:sz w:val="20"/>
        </w:rPr>
        <w:t xml:space="preserve">In the </w:t>
      </w:r>
      <w:r w:rsidR="008E4876" w:rsidRPr="00E205B0">
        <w:rPr>
          <w:sz w:val="20"/>
        </w:rPr>
        <w:t xml:space="preserve">preliminary step, we </w:t>
      </w:r>
      <w:r w:rsidR="00076C27">
        <w:rPr>
          <w:sz w:val="20"/>
        </w:rPr>
        <w:t>resort</w:t>
      </w:r>
      <w:r w:rsidR="008E4876" w:rsidRPr="00E205B0">
        <w:rPr>
          <w:sz w:val="20"/>
        </w:rPr>
        <w:t xml:space="preserve"> </w:t>
      </w:r>
      <w:r w:rsidR="00076C27">
        <w:rPr>
          <w:sz w:val="20"/>
        </w:rPr>
        <w:t xml:space="preserve">to </w:t>
      </w:r>
      <w:r w:rsidR="00CA0FA8">
        <w:rPr>
          <w:sz w:val="20"/>
        </w:rPr>
        <w:t xml:space="preserve">the </w:t>
      </w:r>
      <w:r w:rsidR="008E4876" w:rsidRPr="00E205B0">
        <w:rPr>
          <w:sz w:val="20"/>
        </w:rPr>
        <w:t xml:space="preserve">instrumental variables (IV) </w:t>
      </w:r>
      <w:r w:rsidR="00DB0FE2">
        <w:rPr>
          <w:sz w:val="20"/>
        </w:rPr>
        <w:t xml:space="preserve">method </w:t>
      </w:r>
      <w:r w:rsidR="00771ADC" w:rsidRPr="00E205B0">
        <w:rPr>
          <w:sz w:val="20"/>
        </w:rPr>
        <w:t xml:space="preserve">to overcome </w:t>
      </w:r>
      <w:r w:rsidR="00DB0FE2">
        <w:rPr>
          <w:sz w:val="20"/>
        </w:rPr>
        <w:t xml:space="preserve">the </w:t>
      </w:r>
      <w:r w:rsidR="00771ADC" w:rsidRPr="00E205B0">
        <w:rPr>
          <w:sz w:val="20"/>
        </w:rPr>
        <w:t>endogenous relationship</w:t>
      </w:r>
      <w:r w:rsidR="009F7331">
        <w:rPr>
          <w:sz w:val="20"/>
        </w:rPr>
        <w:t>s</w:t>
      </w:r>
      <w:r w:rsidR="00771ADC" w:rsidRPr="00E205B0">
        <w:rPr>
          <w:sz w:val="20"/>
        </w:rPr>
        <w:t xml:space="preserve"> between </w:t>
      </w:r>
      <w:r w:rsidR="00771ADC">
        <w:rPr>
          <w:sz w:val="20"/>
        </w:rPr>
        <w:t xml:space="preserve">the </w:t>
      </w:r>
      <w:r w:rsidR="00771ADC" w:rsidRPr="00E205B0">
        <w:rPr>
          <w:sz w:val="20"/>
        </w:rPr>
        <w:t xml:space="preserve">employment </w:t>
      </w:r>
      <w:r w:rsidR="009F7331">
        <w:rPr>
          <w:sz w:val="20"/>
        </w:rPr>
        <w:t>rate</w:t>
      </w:r>
      <w:r w:rsidR="00863834">
        <w:rPr>
          <w:sz w:val="20"/>
        </w:rPr>
        <w:t>s</w:t>
      </w:r>
      <w:r w:rsidR="009F7331">
        <w:rPr>
          <w:sz w:val="20"/>
        </w:rPr>
        <w:t xml:space="preserve"> </w:t>
      </w:r>
      <w:r w:rsidR="00771ADC" w:rsidRPr="00E205B0">
        <w:rPr>
          <w:sz w:val="20"/>
        </w:rPr>
        <w:t xml:space="preserve">and </w:t>
      </w:r>
      <w:r w:rsidR="00863834">
        <w:rPr>
          <w:sz w:val="20"/>
        </w:rPr>
        <w:t xml:space="preserve">per capita </w:t>
      </w:r>
      <w:r w:rsidR="00771ADC" w:rsidRPr="00E205B0">
        <w:rPr>
          <w:sz w:val="20"/>
        </w:rPr>
        <w:t xml:space="preserve">GDP </w:t>
      </w:r>
      <w:r w:rsidR="00771ADC">
        <w:rPr>
          <w:sz w:val="20"/>
        </w:rPr>
        <w:t xml:space="preserve">and some specific dimensions of IQI. </w:t>
      </w:r>
      <w:r w:rsidR="00DB0FE2">
        <w:rPr>
          <w:sz w:val="20"/>
        </w:rPr>
        <w:t>In detail, w</w:t>
      </w:r>
      <w:r w:rsidR="008E4876" w:rsidRPr="00E205B0">
        <w:rPr>
          <w:sz w:val="20"/>
        </w:rPr>
        <w:t>e use exogenous covariates and their lagged version</w:t>
      </w:r>
      <w:r w:rsidR="006734CB">
        <w:rPr>
          <w:sz w:val="20"/>
        </w:rPr>
        <w:t>s</w:t>
      </w:r>
      <w:r w:rsidR="00863834">
        <w:rPr>
          <w:sz w:val="20"/>
        </w:rPr>
        <w:t xml:space="preserve"> as instruments. </w:t>
      </w:r>
      <w:r w:rsidR="00103E7B">
        <w:rPr>
          <w:sz w:val="20"/>
        </w:rPr>
        <w:t>T</w:t>
      </w:r>
      <w:r w:rsidR="008E4876" w:rsidRPr="00E205B0">
        <w:rPr>
          <w:sz w:val="20"/>
        </w:rPr>
        <w:t xml:space="preserve">he </w:t>
      </w:r>
      <w:proofErr w:type="spellStart"/>
      <w:r w:rsidR="008E4876" w:rsidRPr="00E205B0">
        <w:rPr>
          <w:sz w:val="20"/>
        </w:rPr>
        <w:t>Sargan</w:t>
      </w:r>
      <w:proofErr w:type="spellEnd"/>
      <w:r w:rsidR="008E4876" w:rsidRPr="00E205B0">
        <w:rPr>
          <w:sz w:val="20"/>
        </w:rPr>
        <w:t xml:space="preserve">-Hansen’s </w:t>
      </w:r>
      <w:r w:rsidR="008E4876" w:rsidRPr="002630AC">
        <w:rPr>
          <w:i/>
          <w:sz w:val="20"/>
        </w:rPr>
        <w:t>J</w:t>
      </w:r>
      <w:r w:rsidR="005F3F58">
        <w:rPr>
          <w:sz w:val="20"/>
        </w:rPr>
        <w:t xml:space="preserve"> test </w:t>
      </w:r>
      <w:r w:rsidR="00863834">
        <w:rPr>
          <w:sz w:val="20"/>
        </w:rPr>
        <w:t xml:space="preserve">leads to conclude </w:t>
      </w:r>
      <w:r w:rsidR="00C86F3E">
        <w:rPr>
          <w:sz w:val="20"/>
        </w:rPr>
        <w:t xml:space="preserve">with </w:t>
      </w:r>
      <w:r w:rsidR="00B54F67">
        <w:rPr>
          <w:sz w:val="20"/>
        </w:rPr>
        <w:t>the exogeneity</w:t>
      </w:r>
      <w:r w:rsidR="00103E7B">
        <w:rPr>
          <w:sz w:val="20"/>
        </w:rPr>
        <w:t>,</w:t>
      </w:r>
      <w:r w:rsidR="00B54F67">
        <w:rPr>
          <w:sz w:val="20"/>
        </w:rPr>
        <w:t xml:space="preserve"> and </w:t>
      </w:r>
      <w:r w:rsidR="00863834">
        <w:rPr>
          <w:sz w:val="20"/>
        </w:rPr>
        <w:t xml:space="preserve">thus, </w:t>
      </w:r>
      <w:r w:rsidR="00C86F3E">
        <w:rPr>
          <w:sz w:val="20"/>
        </w:rPr>
        <w:t>the</w:t>
      </w:r>
      <w:r w:rsidR="00B54F67">
        <w:rPr>
          <w:sz w:val="20"/>
        </w:rPr>
        <w:t xml:space="preserve"> validity of these instruments. </w:t>
      </w:r>
    </w:p>
    <w:p w14:paraId="4B6A2C5C" w14:textId="77777777" w:rsidR="008E4876" w:rsidRPr="001E71DA" w:rsidRDefault="008E4876" w:rsidP="008E4876">
      <w:pPr>
        <w:pStyle w:val="Maintext"/>
      </w:pPr>
    </w:p>
    <w:p w14:paraId="43349B97" w14:textId="72EB1320" w:rsidR="008E4876" w:rsidRDefault="008E4876" w:rsidP="002630AC">
      <w:pPr>
        <w:pStyle w:val="Didascalia4"/>
        <w:ind w:firstLine="993"/>
      </w:pPr>
      <w:r>
        <w:rPr>
          <w:b/>
        </w:rPr>
        <w:t>Table 3:</w:t>
      </w:r>
      <w:r>
        <w:t xml:space="preserve"> Diff-in-Diff </w:t>
      </w:r>
      <w:r w:rsidR="009278EC">
        <w:t>estimates</w:t>
      </w:r>
      <w:r>
        <w:t>, Italy. Model with covariates, 2004-2012</w:t>
      </w:r>
    </w:p>
    <w:tbl>
      <w:tblPr>
        <w:tblW w:w="3539" w:type="pct"/>
        <w:jc w:val="center"/>
        <w:tblLook w:val="0000" w:firstRow="0" w:lastRow="0" w:firstColumn="0" w:lastColumn="0" w:noHBand="0" w:noVBand="0"/>
      </w:tblPr>
      <w:tblGrid>
        <w:gridCol w:w="2201"/>
        <w:gridCol w:w="1383"/>
        <w:gridCol w:w="1383"/>
      </w:tblGrid>
      <w:tr w:rsidR="008E4876" w14:paraId="37751064" w14:textId="77777777" w:rsidTr="00D45A38">
        <w:trPr>
          <w:jc w:val="center"/>
        </w:trPr>
        <w:tc>
          <w:tcPr>
            <w:tcW w:w="2215" w:type="pct"/>
            <w:tcBorders>
              <w:top w:val="single" w:sz="4" w:space="0" w:color="000000"/>
              <w:bottom w:val="double" w:sz="2" w:space="0" w:color="000000"/>
            </w:tcBorders>
          </w:tcPr>
          <w:p w14:paraId="5441C559" w14:textId="77777777" w:rsidR="008E4876" w:rsidRDefault="008E4876" w:rsidP="00D45A38">
            <w:pPr>
              <w:snapToGrid w:val="0"/>
              <w:rPr>
                <w:b/>
                <w:i/>
              </w:rPr>
            </w:pPr>
          </w:p>
        </w:tc>
        <w:tc>
          <w:tcPr>
            <w:tcW w:w="1392" w:type="pct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14:paraId="7A3CCAD5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Coeff</w:t>
            </w:r>
          </w:p>
        </w:tc>
        <w:tc>
          <w:tcPr>
            <w:tcW w:w="1392" w:type="pct"/>
            <w:tcBorders>
              <w:top w:val="single" w:sz="4" w:space="0" w:color="000000"/>
              <w:bottom w:val="double" w:sz="2" w:space="0" w:color="000000"/>
            </w:tcBorders>
          </w:tcPr>
          <w:p w14:paraId="093E55FA" w14:textId="77777777" w:rsidR="008E4876" w:rsidRDefault="008E4876" w:rsidP="00D45A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S.E.</w:t>
            </w:r>
          </w:p>
        </w:tc>
      </w:tr>
      <w:tr w:rsidR="008E4876" w14:paraId="70A750D5" w14:textId="77777777" w:rsidTr="00D45A38">
        <w:trPr>
          <w:jc w:val="center"/>
        </w:trPr>
        <w:tc>
          <w:tcPr>
            <w:tcW w:w="2215" w:type="pct"/>
            <w:tcBorders>
              <w:top w:val="double" w:sz="2" w:space="0" w:color="000000"/>
            </w:tcBorders>
          </w:tcPr>
          <w:p w14:paraId="2102AB7D" w14:textId="77777777" w:rsidR="008E4876" w:rsidRPr="00736FAB" w:rsidRDefault="00863834" w:rsidP="00D45A38">
            <w:pPr>
              <w:pStyle w:val="Maintextfirstline"/>
              <w:snapToGrid w:val="0"/>
            </w:pPr>
            <w:r>
              <w:t xml:space="preserve">per capita </w:t>
            </w:r>
            <w:r w:rsidR="008E4876" w:rsidRPr="00736FAB">
              <w:t>GDP</w:t>
            </w:r>
          </w:p>
        </w:tc>
        <w:tc>
          <w:tcPr>
            <w:tcW w:w="1392" w:type="pct"/>
            <w:tcBorders>
              <w:top w:val="double" w:sz="2" w:space="0" w:color="000000"/>
            </w:tcBorders>
          </w:tcPr>
          <w:p w14:paraId="7E79A81B" w14:textId="77777777" w:rsidR="008E4876" w:rsidRPr="003D10BE" w:rsidRDefault="008E4876" w:rsidP="00D45A38">
            <w:pPr>
              <w:pStyle w:val="Maintextfirstline"/>
              <w:snapToGrid w:val="0"/>
            </w:pPr>
            <w:r w:rsidRPr="003D10BE">
              <w:t>0.280</w:t>
            </w:r>
            <w:r w:rsidRPr="003D10BE">
              <w:rPr>
                <w:vertAlign w:val="superscript"/>
              </w:rPr>
              <w:t>***</w:t>
            </w:r>
          </w:p>
        </w:tc>
        <w:tc>
          <w:tcPr>
            <w:tcW w:w="1392" w:type="pct"/>
            <w:tcBorders>
              <w:top w:val="double" w:sz="2" w:space="0" w:color="000000"/>
            </w:tcBorders>
          </w:tcPr>
          <w:p w14:paraId="1C3321E0" w14:textId="77777777" w:rsidR="008E4876" w:rsidRDefault="008E4876" w:rsidP="00D45A38">
            <w:pPr>
              <w:pStyle w:val="Maintextfirstline"/>
              <w:snapToGrid w:val="0"/>
            </w:pPr>
            <w:r>
              <w:t>.023</w:t>
            </w:r>
          </w:p>
        </w:tc>
      </w:tr>
      <w:tr w:rsidR="008E4876" w:rsidRPr="00CC0675" w14:paraId="5363DD91" w14:textId="77777777" w:rsidTr="00D45A38">
        <w:trPr>
          <w:jc w:val="center"/>
        </w:trPr>
        <w:tc>
          <w:tcPr>
            <w:tcW w:w="2215" w:type="pct"/>
            <w:tcBorders>
              <w:bottom w:val="single" w:sz="4" w:space="0" w:color="auto"/>
            </w:tcBorders>
          </w:tcPr>
          <w:p w14:paraId="5DD50000" w14:textId="77777777" w:rsidR="008E4876" w:rsidRPr="004761A2" w:rsidRDefault="008E4876" w:rsidP="00D45A38">
            <w:pPr>
              <w:pStyle w:val="Maintextfirstline"/>
              <w:snapToGrid w:val="0"/>
            </w:pPr>
            <w:r w:rsidRPr="004761A2">
              <w:t>PEALT</w:t>
            </w:r>
          </w:p>
          <w:p w14:paraId="4F6DED52" w14:textId="77777777" w:rsidR="008E4876" w:rsidRPr="004761A2" w:rsidRDefault="008E4876" w:rsidP="00D45A38">
            <w:pPr>
              <w:pStyle w:val="Maintext"/>
            </w:pPr>
            <w:r w:rsidRPr="004761A2">
              <w:t xml:space="preserve">ALMP </w:t>
            </w:r>
          </w:p>
          <w:p w14:paraId="47363D27" w14:textId="77777777" w:rsidR="008E4876" w:rsidRPr="004761A2" w:rsidRDefault="00863834" w:rsidP="00D45A38">
            <w:pPr>
              <w:pStyle w:val="Maintext"/>
            </w:pPr>
            <w:r w:rsidRPr="004761A2">
              <w:t>ELETT</w:t>
            </w:r>
          </w:p>
          <w:p w14:paraId="06D4DD42" w14:textId="77777777" w:rsidR="008E4876" w:rsidRPr="004761A2" w:rsidRDefault="008E4876" w:rsidP="00D45A38">
            <w:pPr>
              <w:pStyle w:val="Maintext"/>
            </w:pPr>
            <w:r w:rsidRPr="004761A2">
              <w:t>PRPSE</w:t>
            </w:r>
          </w:p>
          <w:p w14:paraId="2F38E985" w14:textId="77777777" w:rsidR="008E4876" w:rsidRPr="004761A2" w:rsidRDefault="008E4876" w:rsidP="00D45A38">
            <w:pPr>
              <w:pStyle w:val="Maintext"/>
            </w:pPr>
            <w:r w:rsidRPr="004761A2">
              <w:t xml:space="preserve">Corruption </w:t>
            </w:r>
          </w:p>
          <w:p w14:paraId="3563642A" w14:textId="77777777" w:rsidR="008E4876" w:rsidRPr="004761A2" w:rsidRDefault="008E4876" w:rsidP="00D45A38">
            <w:pPr>
              <w:pStyle w:val="Maintext"/>
            </w:pPr>
            <w:r w:rsidRPr="004761A2">
              <w:t>Government Effectiveness</w:t>
            </w:r>
          </w:p>
          <w:p w14:paraId="410678B9" w14:textId="77777777" w:rsidR="008E4876" w:rsidRPr="004761A2" w:rsidRDefault="008E4876" w:rsidP="00D45A38">
            <w:pPr>
              <w:pStyle w:val="Maintext"/>
            </w:pPr>
            <w:r w:rsidRPr="004761A2">
              <w:t>Regulatory Quality</w:t>
            </w:r>
          </w:p>
          <w:p w14:paraId="30522667" w14:textId="77777777" w:rsidR="008E4876" w:rsidRPr="004761A2" w:rsidRDefault="008E4876" w:rsidP="00D45A38">
            <w:pPr>
              <w:pStyle w:val="Maintext"/>
            </w:pPr>
            <w:r w:rsidRPr="004761A2">
              <w:t>Rule of law</w:t>
            </w:r>
          </w:p>
          <w:p w14:paraId="5A98050C" w14:textId="77777777" w:rsidR="008E4876" w:rsidRPr="004761A2" w:rsidRDefault="008E4876" w:rsidP="00D45A38">
            <w:pPr>
              <w:pStyle w:val="Maintext"/>
              <w:rPr>
                <w:b/>
              </w:rPr>
            </w:pPr>
            <w:r w:rsidRPr="004761A2">
              <w:t>Voice and Accountability</w:t>
            </w:r>
          </w:p>
        </w:tc>
        <w:tc>
          <w:tcPr>
            <w:tcW w:w="1392" w:type="pct"/>
            <w:tcBorders>
              <w:bottom w:val="single" w:sz="4" w:space="0" w:color="auto"/>
            </w:tcBorders>
          </w:tcPr>
          <w:p w14:paraId="15069014" w14:textId="77777777" w:rsidR="008E4876" w:rsidRPr="003D10BE" w:rsidRDefault="008E4876" w:rsidP="00D45A38">
            <w:pPr>
              <w:pStyle w:val="Maintext"/>
              <w:rPr>
                <w:rFonts w:eastAsia="Arial"/>
              </w:rPr>
            </w:pPr>
            <w:r w:rsidRPr="003D10BE">
              <w:rPr>
                <w:rFonts w:eastAsia="Arial"/>
              </w:rPr>
              <w:t>-0.041</w:t>
            </w:r>
          </w:p>
          <w:p w14:paraId="37D20644" w14:textId="77777777" w:rsidR="008E4876" w:rsidRPr="003D10BE" w:rsidRDefault="008E4876" w:rsidP="00D45A38">
            <w:pPr>
              <w:pStyle w:val="Maintext"/>
              <w:rPr>
                <w:rFonts w:eastAsia="Arial"/>
              </w:rPr>
            </w:pPr>
            <w:r w:rsidRPr="003D10BE">
              <w:rPr>
                <w:rFonts w:eastAsia="Arial"/>
              </w:rPr>
              <w:t>-0.005</w:t>
            </w:r>
            <w:r w:rsidRPr="003D10BE">
              <w:rPr>
                <w:rFonts w:eastAsia="Arial"/>
                <w:vertAlign w:val="superscript"/>
              </w:rPr>
              <w:t>*</w:t>
            </w:r>
          </w:p>
          <w:p w14:paraId="0F471E9F" w14:textId="77777777" w:rsidR="008E4876" w:rsidRPr="003D10BE" w:rsidRDefault="008E4876" w:rsidP="00D45A38">
            <w:pPr>
              <w:pStyle w:val="Maintext"/>
              <w:rPr>
                <w:rFonts w:eastAsia="Arial"/>
              </w:rPr>
            </w:pPr>
            <w:r w:rsidRPr="003D10BE">
              <w:rPr>
                <w:rFonts w:eastAsia="Arial"/>
              </w:rPr>
              <w:t>-0.036</w:t>
            </w:r>
            <w:r w:rsidRPr="003D10BE">
              <w:rPr>
                <w:rFonts w:eastAsia="Arial"/>
                <w:vertAlign w:val="superscript"/>
              </w:rPr>
              <w:t>**</w:t>
            </w:r>
          </w:p>
          <w:p w14:paraId="366E6AEA" w14:textId="77777777" w:rsidR="008E4876" w:rsidRPr="003D10BE" w:rsidRDefault="008E4876" w:rsidP="00D45A38">
            <w:pPr>
              <w:pStyle w:val="Maintext"/>
              <w:rPr>
                <w:rFonts w:eastAsia="Arial"/>
              </w:rPr>
            </w:pPr>
            <w:r w:rsidRPr="003D10BE">
              <w:rPr>
                <w:rFonts w:eastAsia="Arial"/>
              </w:rPr>
              <w:t>-0.016</w:t>
            </w:r>
            <w:r w:rsidRPr="003D10BE">
              <w:rPr>
                <w:rFonts w:eastAsia="Arial"/>
                <w:vertAlign w:val="superscript"/>
              </w:rPr>
              <w:t>***</w:t>
            </w:r>
          </w:p>
          <w:p w14:paraId="450872D7" w14:textId="77777777" w:rsidR="008E4876" w:rsidRPr="003D10BE" w:rsidRDefault="008E4876" w:rsidP="00D45A38">
            <w:pPr>
              <w:pStyle w:val="Maintext"/>
              <w:rPr>
                <w:rFonts w:eastAsia="Arial"/>
              </w:rPr>
            </w:pPr>
            <w:r w:rsidRPr="003D10BE">
              <w:rPr>
                <w:rFonts w:eastAsia="Arial"/>
              </w:rPr>
              <w:t>0.135</w:t>
            </w:r>
            <w:r w:rsidRPr="003D10BE">
              <w:rPr>
                <w:rFonts w:eastAsia="Arial"/>
                <w:vertAlign w:val="superscript"/>
              </w:rPr>
              <w:t>***</w:t>
            </w:r>
          </w:p>
          <w:p w14:paraId="702A8828" w14:textId="77777777" w:rsidR="008E4876" w:rsidRPr="003D10BE" w:rsidRDefault="008E4876" w:rsidP="00D45A38">
            <w:pPr>
              <w:pStyle w:val="Maintext"/>
              <w:rPr>
                <w:rFonts w:eastAsia="Arial"/>
              </w:rPr>
            </w:pPr>
            <w:r w:rsidRPr="003D10BE">
              <w:rPr>
                <w:rFonts w:eastAsia="Arial"/>
              </w:rPr>
              <w:t>0.162</w:t>
            </w:r>
            <w:r w:rsidRPr="003D10BE">
              <w:rPr>
                <w:rFonts w:eastAsia="Arial"/>
                <w:vertAlign w:val="superscript"/>
              </w:rPr>
              <w:t>***</w:t>
            </w:r>
          </w:p>
          <w:p w14:paraId="2AB64F82" w14:textId="77777777" w:rsidR="008E4876" w:rsidRPr="003D10BE" w:rsidRDefault="008E4876" w:rsidP="00D45A38">
            <w:pPr>
              <w:pStyle w:val="Maintext"/>
              <w:rPr>
                <w:rFonts w:eastAsia="Arial"/>
              </w:rPr>
            </w:pPr>
            <w:r w:rsidRPr="003D10BE">
              <w:rPr>
                <w:rFonts w:eastAsia="Arial"/>
              </w:rPr>
              <w:t>0.115</w:t>
            </w:r>
            <w:r w:rsidRPr="003D10BE">
              <w:rPr>
                <w:rFonts w:eastAsia="Arial"/>
                <w:vertAlign w:val="superscript"/>
              </w:rPr>
              <w:t>***</w:t>
            </w:r>
          </w:p>
          <w:p w14:paraId="2F14F423" w14:textId="77777777" w:rsidR="008E4876" w:rsidRPr="003D10BE" w:rsidRDefault="008E4876" w:rsidP="00D45A38">
            <w:pPr>
              <w:pStyle w:val="Maintext"/>
              <w:rPr>
                <w:rFonts w:eastAsia="Arial"/>
              </w:rPr>
            </w:pPr>
            <w:r w:rsidRPr="003D10BE">
              <w:rPr>
                <w:rFonts w:eastAsia="Arial"/>
              </w:rPr>
              <w:t>-0.012</w:t>
            </w:r>
          </w:p>
          <w:p w14:paraId="51E6A83F" w14:textId="77777777" w:rsidR="008E4876" w:rsidRPr="003D10BE" w:rsidRDefault="008E4876" w:rsidP="00D45A38">
            <w:pPr>
              <w:pStyle w:val="Maintext"/>
              <w:rPr>
                <w:rFonts w:eastAsia="Arial"/>
              </w:rPr>
            </w:pPr>
            <w:r w:rsidRPr="003D10BE">
              <w:rPr>
                <w:rFonts w:eastAsia="Arial"/>
              </w:rPr>
              <w:t>-0.066</w:t>
            </w:r>
            <w:r w:rsidRPr="003D10BE">
              <w:rPr>
                <w:rFonts w:eastAsia="Arial"/>
                <w:vertAlign w:val="superscript"/>
              </w:rPr>
              <w:t>*</w:t>
            </w:r>
          </w:p>
        </w:tc>
        <w:tc>
          <w:tcPr>
            <w:tcW w:w="1392" w:type="pct"/>
            <w:tcBorders>
              <w:bottom w:val="single" w:sz="4" w:space="0" w:color="auto"/>
            </w:tcBorders>
          </w:tcPr>
          <w:p w14:paraId="18D1684F" w14:textId="77777777" w:rsidR="008E4876" w:rsidRPr="002C53F8" w:rsidRDefault="008E4876" w:rsidP="00D45A38">
            <w:pPr>
              <w:pStyle w:val="Maintext"/>
              <w:rPr>
                <w:rFonts w:eastAsia="Arial"/>
              </w:rPr>
            </w:pPr>
            <w:r w:rsidRPr="002C53F8">
              <w:rPr>
                <w:rFonts w:eastAsia="Arial"/>
              </w:rPr>
              <w:t>.026</w:t>
            </w:r>
          </w:p>
          <w:p w14:paraId="349B55FF" w14:textId="77777777" w:rsidR="008E4876" w:rsidRPr="002C53F8" w:rsidRDefault="008E4876" w:rsidP="00D45A38">
            <w:pPr>
              <w:pStyle w:val="Maintext"/>
              <w:rPr>
                <w:rFonts w:eastAsia="Arial"/>
              </w:rPr>
            </w:pPr>
            <w:r w:rsidRPr="002C53F8">
              <w:rPr>
                <w:rFonts w:eastAsia="Arial"/>
              </w:rPr>
              <w:t>.003</w:t>
            </w:r>
          </w:p>
          <w:p w14:paraId="463EF36C" w14:textId="77777777" w:rsidR="008E4876" w:rsidRPr="002C53F8" w:rsidRDefault="008E4876" w:rsidP="00D45A38">
            <w:pPr>
              <w:pStyle w:val="Maintext"/>
              <w:rPr>
                <w:rFonts w:eastAsia="Arial"/>
              </w:rPr>
            </w:pPr>
            <w:r w:rsidRPr="002C53F8">
              <w:rPr>
                <w:rFonts w:eastAsia="Arial"/>
              </w:rPr>
              <w:t>.016</w:t>
            </w:r>
          </w:p>
          <w:p w14:paraId="780D63A0" w14:textId="77777777" w:rsidR="008E4876" w:rsidRPr="002C53F8" w:rsidRDefault="008E4876" w:rsidP="00D45A38">
            <w:pPr>
              <w:pStyle w:val="Maintext"/>
              <w:rPr>
                <w:rFonts w:eastAsia="Arial"/>
              </w:rPr>
            </w:pPr>
            <w:r w:rsidRPr="002C53F8">
              <w:rPr>
                <w:rFonts w:eastAsia="Arial"/>
              </w:rPr>
              <w:t>.005</w:t>
            </w:r>
          </w:p>
          <w:p w14:paraId="34B3F8D2" w14:textId="77777777" w:rsidR="008E4876" w:rsidRPr="002C53F8" w:rsidRDefault="008E4876" w:rsidP="00D45A38">
            <w:pPr>
              <w:pStyle w:val="Maintext"/>
              <w:rPr>
                <w:rFonts w:eastAsia="Arial"/>
              </w:rPr>
            </w:pPr>
            <w:r w:rsidRPr="002C53F8">
              <w:rPr>
                <w:rFonts w:eastAsia="Arial"/>
              </w:rPr>
              <w:t>.021</w:t>
            </w:r>
          </w:p>
          <w:p w14:paraId="775D6854" w14:textId="77777777" w:rsidR="008E4876" w:rsidRPr="002C53F8" w:rsidRDefault="008E4876" w:rsidP="00D45A38">
            <w:pPr>
              <w:pStyle w:val="Maintext"/>
              <w:rPr>
                <w:rFonts w:eastAsia="Arial"/>
              </w:rPr>
            </w:pPr>
            <w:r w:rsidRPr="002C53F8">
              <w:rPr>
                <w:rFonts w:eastAsia="Arial"/>
              </w:rPr>
              <w:t>.026</w:t>
            </w:r>
          </w:p>
          <w:p w14:paraId="557848C3" w14:textId="77777777" w:rsidR="008E4876" w:rsidRPr="002C53F8" w:rsidRDefault="008E4876" w:rsidP="00D45A38">
            <w:pPr>
              <w:pStyle w:val="Maintext"/>
              <w:rPr>
                <w:rFonts w:eastAsia="Arial"/>
              </w:rPr>
            </w:pPr>
            <w:r w:rsidRPr="002C53F8">
              <w:rPr>
                <w:rFonts w:eastAsia="Arial"/>
              </w:rPr>
              <w:t>.032</w:t>
            </w:r>
          </w:p>
          <w:p w14:paraId="028C5090" w14:textId="77777777" w:rsidR="008E4876" w:rsidRPr="002C53F8" w:rsidRDefault="008E4876" w:rsidP="00D45A38">
            <w:pPr>
              <w:pStyle w:val="Maintext"/>
              <w:rPr>
                <w:rFonts w:eastAsia="Arial"/>
              </w:rPr>
            </w:pPr>
            <w:r w:rsidRPr="002C53F8">
              <w:rPr>
                <w:rFonts w:eastAsia="Arial"/>
              </w:rPr>
              <w:t>.016</w:t>
            </w:r>
          </w:p>
          <w:p w14:paraId="5BFB511E" w14:textId="77777777" w:rsidR="008E4876" w:rsidRPr="002C53F8" w:rsidRDefault="008E4876" w:rsidP="00D45A38">
            <w:pPr>
              <w:pStyle w:val="Maintext"/>
              <w:rPr>
                <w:rFonts w:eastAsia="Arial"/>
              </w:rPr>
            </w:pPr>
            <w:r w:rsidRPr="002C53F8">
              <w:rPr>
                <w:rFonts w:eastAsia="Arial"/>
              </w:rPr>
              <w:t>.037</w:t>
            </w:r>
          </w:p>
        </w:tc>
      </w:tr>
    </w:tbl>
    <w:p w14:paraId="3937E336" w14:textId="77777777" w:rsidR="008E4876" w:rsidRDefault="008E4876" w:rsidP="008E4876">
      <w:pPr>
        <w:pStyle w:val="Didascalia4"/>
        <w:ind w:firstLine="993"/>
        <w:rPr>
          <w:bCs/>
          <w:i/>
        </w:rPr>
      </w:pPr>
      <w:r w:rsidRPr="000B7EBC">
        <w:rPr>
          <w:bCs/>
          <w:i/>
        </w:rPr>
        <w:t>*Significant at 10%; **Significant at 5%; ***Significant at 1%;</w:t>
      </w:r>
    </w:p>
    <w:p w14:paraId="301458CC" w14:textId="77777777" w:rsidR="00DE1F99" w:rsidRDefault="00DE1F99" w:rsidP="00DE1F99">
      <w:pPr>
        <w:pStyle w:val="Maintext"/>
      </w:pPr>
    </w:p>
    <w:p w14:paraId="179F5D35" w14:textId="3E7136D0" w:rsidR="009C12A9" w:rsidRDefault="0058693D" w:rsidP="006E51BB">
      <w:pPr>
        <w:pStyle w:val="Maintext"/>
        <w:ind w:firstLine="284"/>
        <w:rPr>
          <w:sz w:val="20"/>
        </w:rPr>
      </w:pPr>
      <w:r>
        <w:rPr>
          <w:sz w:val="20"/>
        </w:rPr>
        <w:t xml:space="preserve">The </w:t>
      </w:r>
      <w:r w:rsidR="009C12A9" w:rsidRPr="00077C83">
        <w:rPr>
          <w:sz w:val="20"/>
        </w:rPr>
        <w:t xml:space="preserve">employment growth </w:t>
      </w:r>
      <w:r w:rsidR="002630AC">
        <w:rPr>
          <w:sz w:val="20"/>
        </w:rPr>
        <w:t>is</w:t>
      </w:r>
      <w:r w:rsidR="009C12A9" w:rsidRPr="00077C83">
        <w:rPr>
          <w:sz w:val="20"/>
        </w:rPr>
        <w:t xml:space="preserve"> </w:t>
      </w:r>
      <w:r w:rsidR="002630AC" w:rsidRPr="00077C83">
        <w:rPr>
          <w:sz w:val="20"/>
        </w:rPr>
        <w:t xml:space="preserve">positively </w:t>
      </w:r>
      <w:r w:rsidR="009C12A9" w:rsidRPr="00077C83">
        <w:rPr>
          <w:sz w:val="20"/>
        </w:rPr>
        <w:t xml:space="preserve">related to the </w:t>
      </w:r>
      <w:r w:rsidR="009C12A9">
        <w:rPr>
          <w:sz w:val="20"/>
        </w:rPr>
        <w:t>GDP level</w:t>
      </w:r>
      <w:r w:rsidR="002630AC">
        <w:rPr>
          <w:sz w:val="20"/>
        </w:rPr>
        <w:t xml:space="preserve"> </w:t>
      </w:r>
      <w:r w:rsidR="00325634">
        <w:rPr>
          <w:sz w:val="20"/>
        </w:rPr>
        <w:t xml:space="preserve">(Table 3) </w:t>
      </w:r>
      <w:r w:rsidR="002630AC">
        <w:rPr>
          <w:sz w:val="20"/>
        </w:rPr>
        <w:t xml:space="preserve">in </w:t>
      </w:r>
      <w:r w:rsidR="00C95BA6">
        <w:rPr>
          <w:sz w:val="20"/>
        </w:rPr>
        <w:t>accordance</w:t>
      </w:r>
      <w:r w:rsidR="002630AC">
        <w:rPr>
          <w:sz w:val="20"/>
        </w:rPr>
        <w:t xml:space="preserve"> with </w:t>
      </w:r>
      <w:r w:rsidR="009B60CF">
        <w:rPr>
          <w:sz w:val="20"/>
        </w:rPr>
        <w:t xml:space="preserve">the literature </w:t>
      </w:r>
      <w:r w:rsidR="00C95BA6">
        <w:rPr>
          <w:sz w:val="20"/>
        </w:rPr>
        <w:t>that investigate</w:t>
      </w:r>
      <w:r w:rsidR="005F3F58">
        <w:rPr>
          <w:sz w:val="20"/>
        </w:rPr>
        <w:t>d</w:t>
      </w:r>
      <w:r w:rsidR="00C95BA6">
        <w:rPr>
          <w:sz w:val="20"/>
        </w:rPr>
        <w:t xml:space="preserve"> </w:t>
      </w:r>
      <w:r w:rsidR="008A1F28">
        <w:rPr>
          <w:sz w:val="20"/>
        </w:rPr>
        <w:t>this</w:t>
      </w:r>
      <w:r w:rsidR="009C12A9">
        <w:rPr>
          <w:sz w:val="20"/>
        </w:rPr>
        <w:t xml:space="preserve"> </w:t>
      </w:r>
      <w:r w:rsidR="009B0542">
        <w:rPr>
          <w:sz w:val="20"/>
        </w:rPr>
        <w:t>topic for</w:t>
      </w:r>
      <w:r w:rsidR="009C12A9">
        <w:rPr>
          <w:sz w:val="20"/>
        </w:rPr>
        <w:t xml:space="preserve"> the most developed countries (see, among others, </w:t>
      </w:r>
      <w:r w:rsidR="00BD6E89">
        <w:rPr>
          <w:sz w:val="20"/>
        </w:rPr>
        <w:t>[6</w:t>
      </w:r>
      <w:r w:rsidR="00CE4FCD">
        <w:rPr>
          <w:sz w:val="20"/>
        </w:rPr>
        <w:t xml:space="preserve">; </w:t>
      </w:r>
      <w:r w:rsidR="00BD6E89" w:rsidRPr="00BD6E89">
        <w:rPr>
          <w:sz w:val="20"/>
        </w:rPr>
        <w:t>1</w:t>
      </w:r>
      <w:r w:rsidR="00BD6E89">
        <w:rPr>
          <w:sz w:val="20"/>
        </w:rPr>
        <w:t>6</w:t>
      </w:r>
      <w:r w:rsidR="00CE4FCD">
        <w:rPr>
          <w:sz w:val="20"/>
        </w:rPr>
        <w:t xml:space="preserve">; </w:t>
      </w:r>
      <w:r w:rsidR="004A0363" w:rsidRPr="00BD6E89">
        <w:rPr>
          <w:sz w:val="20"/>
        </w:rPr>
        <w:t>1</w:t>
      </w:r>
      <w:r w:rsidR="00CE4FCD">
        <w:rPr>
          <w:sz w:val="20"/>
        </w:rPr>
        <w:t>8</w:t>
      </w:r>
      <w:r w:rsidR="004A0363" w:rsidRPr="00BD6E89">
        <w:rPr>
          <w:sz w:val="20"/>
        </w:rPr>
        <w:t>]</w:t>
      </w:r>
      <w:r w:rsidR="009C12A9">
        <w:rPr>
          <w:sz w:val="20"/>
        </w:rPr>
        <w:t>)</w:t>
      </w:r>
      <w:r w:rsidR="004761A2">
        <w:rPr>
          <w:sz w:val="20"/>
        </w:rPr>
        <w:t>.</w:t>
      </w:r>
      <w:r w:rsidR="00403C0E" w:rsidRPr="00B526CF">
        <w:rPr>
          <w:sz w:val="20"/>
        </w:rPr>
        <w:t xml:space="preserve"> </w:t>
      </w:r>
      <w:r w:rsidR="002A4AE2">
        <w:rPr>
          <w:sz w:val="20"/>
        </w:rPr>
        <w:t>I</w:t>
      </w:r>
      <w:r w:rsidR="00403C0E" w:rsidRPr="00B526CF">
        <w:rPr>
          <w:sz w:val="20"/>
        </w:rPr>
        <w:t xml:space="preserve">t is </w:t>
      </w:r>
      <w:r w:rsidR="00CE3B24" w:rsidRPr="00B526CF">
        <w:rPr>
          <w:sz w:val="20"/>
        </w:rPr>
        <w:t xml:space="preserve">definitely </w:t>
      </w:r>
      <w:r w:rsidR="00403C0E" w:rsidRPr="00B526CF">
        <w:rPr>
          <w:sz w:val="20"/>
        </w:rPr>
        <w:t xml:space="preserve">clear the negative </w:t>
      </w:r>
      <w:r w:rsidR="002A4AE2">
        <w:rPr>
          <w:sz w:val="20"/>
        </w:rPr>
        <w:t>effect</w:t>
      </w:r>
      <w:r w:rsidR="004951CD">
        <w:rPr>
          <w:sz w:val="20"/>
        </w:rPr>
        <w:t xml:space="preserve"> </w:t>
      </w:r>
      <w:r w:rsidR="005F3F58">
        <w:rPr>
          <w:sz w:val="20"/>
        </w:rPr>
        <w:t xml:space="preserve">on regional </w:t>
      </w:r>
      <w:r w:rsidR="005F3F58" w:rsidRPr="00B526CF">
        <w:rPr>
          <w:sz w:val="20"/>
        </w:rPr>
        <w:t>performance</w:t>
      </w:r>
      <w:r w:rsidR="005F3F58">
        <w:rPr>
          <w:sz w:val="20"/>
        </w:rPr>
        <w:t xml:space="preserve"> </w:t>
      </w:r>
      <w:r w:rsidR="00B526CF">
        <w:rPr>
          <w:sz w:val="20"/>
        </w:rPr>
        <w:t>of</w:t>
      </w:r>
      <w:r w:rsidR="00CE3B24" w:rsidRPr="00B526CF">
        <w:rPr>
          <w:sz w:val="20"/>
        </w:rPr>
        <w:t xml:space="preserve"> </w:t>
      </w:r>
      <w:r w:rsidR="005C2E2D">
        <w:rPr>
          <w:sz w:val="20"/>
        </w:rPr>
        <w:t xml:space="preserve">low </w:t>
      </w:r>
      <w:r w:rsidR="009B2B48">
        <w:rPr>
          <w:sz w:val="20"/>
        </w:rPr>
        <w:t>human</w:t>
      </w:r>
      <w:r w:rsidR="006D7627" w:rsidRPr="00B526CF">
        <w:rPr>
          <w:sz w:val="20"/>
        </w:rPr>
        <w:t xml:space="preserve"> </w:t>
      </w:r>
      <w:r w:rsidR="009A1CEC">
        <w:rPr>
          <w:sz w:val="20"/>
        </w:rPr>
        <w:t xml:space="preserve">capital </w:t>
      </w:r>
      <w:r w:rsidR="006D7627" w:rsidRPr="00B526CF">
        <w:rPr>
          <w:sz w:val="20"/>
        </w:rPr>
        <w:t>and poor</w:t>
      </w:r>
      <w:r w:rsidR="00B526CF" w:rsidRPr="00B526CF">
        <w:rPr>
          <w:sz w:val="20"/>
        </w:rPr>
        <w:t>/deprived/excluded people</w:t>
      </w:r>
      <w:r w:rsidR="00067AF0" w:rsidRPr="00B526CF">
        <w:rPr>
          <w:sz w:val="20"/>
        </w:rPr>
        <w:t>.</w:t>
      </w:r>
      <w:r w:rsidR="004761A2">
        <w:rPr>
          <w:sz w:val="20"/>
        </w:rPr>
        <w:t xml:space="preserve"> </w:t>
      </w:r>
      <w:r w:rsidR="00985D05">
        <w:rPr>
          <w:sz w:val="20"/>
        </w:rPr>
        <w:t>However, t</w:t>
      </w:r>
      <w:r w:rsidR="00103E7B">
        <w:rPr>
          <w:sz w:val="20"/>
        </w:rPr>
        <w:t xml:space="preserve">he active labour market </w:t>
      </w:r>
      <w:r w:rsidR="00D44284">
        <w:rPr>
          <w:sz w:val="20"/>
        </w:rPr>
        <w:t>policies</w:t>
      </w:r>
      <w:r w:rsidR="00103E7B" w:rsidRPr="00B526CF">
        <w:rPr>
          <w:sz w:val="20"/>
        </w:rPr>
        <w:t xml:space="preserve">, which could be </w:t>
      </w:r>
      <w:r w:rsidR="00985D05">
        <w:rPr>
          <w:sz w:val="20"/>
        </w:rPr>
        <w:t>regarded as</w:t>
      </w:r>
      <w:r w:rsidR="00103E7B" w:rsidRPr="00B526CF">
        <w:rPr>
          <w:sz w:val="20"/>
        </w:rPr>
        <w:t xml:space="preserve"> a proxy of the degree of unionisation of a country</w:t>
      </w:r>
      <w:r w:rsidR="004A0363">
        <w:rPr>
          <w:sz w:val="20"/>
        </w:rPr>
        <w:t xml:space="preserve"> </w:t>
      </w:r>
      <w:r w:rsidR="004A0363" w:rsidRPr="00BD6E89">
        <w:rPr>
          <w:sz w:val="20"/>
        </w:rPr>
        <w:t>[1</w:t>
      </w:r>
      <w:r w:rsidR="004A0363">
        <w:rPr>
          <w:sz w:val="20"/>
        </w:rPr>
        <w:t>2</w:t>
      </w:r>
      <w:r w:rsidR="004A0363" w:rsidRPr="00BD6E89">
        <w:rPr>
          <w:sz w:val="20"/>
        </w:rPr>
        <w:t>]</w:t>
      </w:r>
      <w:r w:rsidR="00103E7B" w:rsidRPr="00B526CF">
        <w:rPr>
          <w:sz w:val="20"/>
        </w:rPr>
        <w:t xml:space="preserve">, seem not to help the unemployed in finding jobs. </w:t>
      </w:r>
      <w:r w:rsidR="009D229E">
        <w:rPr>
          <w:sz w:val="20"/>
        </w:rPr>
        <w:t xml:space="preserve">A significant share of the observed gap in employment between regions is also attributable to </w:t>
      </w:r>
      <w:r w:rsidR="009D229E" w:rsidRPr="00D764C8">
        <w:rPr>
          <w:sz w:val="20"/>
        </w:rPr>
        <w:t>difference</w:t>
      </w:r>
      <w:r w:rsidR="009D229E">
        <w:rPr>
          <w:sz w:val="20"/>
        </w:rPr>
        <w:t>s</w:t>
      </w:r>
      <w:r w:rsidR="009D229E" w:rsidRPr="00D764C8">
        <w:rPr>
          <w:sz w:val="20"/>
        </w:rPr>
        <w:t xml:space="preserve"> in the quality of institutions</w:t>
      </w:r>
      <w:r w:rsidR="009D229E">
        <w:rPr>
          <w:sz w:val="20"/>
        </w:rPr>
        <w:t xml:space="preserve"> </w:t>
      </w:r>
      <w:r w:rsidR="004A0363" w:rsidRPr="00BD6E89">
        <w:rPr>
          <w:sz w:val="20"/>
        </w:rPr>
        <w:t>[1</w:t>
      </w:r>
      <w:r w:rsidR="00CE4FCD">
        <w:rPr>
          <w:sz w:val="20"/>
        </w:rPr>
        <w:t xml:space="preserve">; </w:t>
      </w:r>
      <w:r w:rsidR="004A0363">
        <w:rPr>
          <w:sz w:val="20"/>
        </w:rPr>
        <w:t>17</w:t>
      </w:r>
      <w:r w:rsidR="00CE4FCD">
        <w:rPr>
          <w:sz w:val="20"/>
        </w:rPr>
        <w:t xml:space="preserve">; </w:t>
      </w:r>
      <w:r w:rsidR="004A0363">
        <w:rPr>
          <w:sz w:val="20"/>
        </w:rPr>
        <w:t>8</w:t>
      </w:r>
      <w:r w:rsidR="004A0363" w:rsidRPr="00BD6E89">
        <w:rPr>
          <w:sz w:val="20"/>
        </w:rPr>
        <w:t>]</w:t>
      </w:r>
      <w:r w:rsidR="00C9220A">
        <w:rPr>
          <w:sz w:val="20"/>
        </w:rPr>
        <w:t xml:space="preserve">. </w:t>
      </w:r>
      <w:r w:rsidR="009C12A9">
        <w:rPr>
          <w:sz w:val="20"/>
        </w:rPr>
        <w:t>In particular, three</w:t>
      </w:r>
      <w:r w:rsidR="009C12A9" w:rsidRPr="0059761B">
        <w:rPr>
          <w:sz w:val="20"/>
        </w:rPr>
        <w:t xml:space="preserve"> out of the five</w:t>
      </w:r>
      <w:r w:rsidR="009C12A9">
        <w:rPr>
          <w:sz w:val="20"/>
        </w:rPr>
        <w:t xml:space="preserve"> </w:t>
      </w:r>
      <w:r w:rsidR="006E51BB">
        <w:rPr>
          <w:sz w:val="20"/>
        </w:rPr>
        <w:t>dimensions</w:t>
      </w:r>
      <w:r w:rsidR="009C12A9">
        <w:rPr>
          <w:sz w:val="20"/>
        </w:rPr>
        <w:t xml:space="preserve"> of institutional quality</w:t>
      </w:r>
      <w:r w:rsidR="006E51BB">
        <w:rPr>
          <w:sz w:val="20"/>
        </w:rPr>
        <w:t xml:space="preserve"> (</w:t>
      </w:r>
      <w:r w:rsidR="009C12A9">
        <w:rPr>
          <w:sz w:val="20"/>
        </w:rPr>
        <w:t>i.e. corruption, government effectiveness and regulatory quality</w:t>
      </w:r>
      <w:r w:rsidR="00B5046E">
        <w:rPr>
          <w:sz w:val="20"/>
        </w:rPr>
        <w:t>)</w:t>
      </w:r>
      <w:r w:rsidR="009C12A9">
        <w:rPr>
          <w:sz w:val="20"/>
        </w:rPr>
        <w:t xml:space="preserve"> </w:t>
      </w:r>
      <w:r w:rsidR="009C12A9" w:rsidRPr="005004C5">
        <w:rPr>
          <w:sz w:val="20"/>
        </w:rPr>
        <w:t xml:space="preserve">suggest that a </w:t>
      </w:r>
      <w:r w:rsidR="009C12A9">
        <w:rPr>
          <w:sz w:val="20"/>
        </w:rPr>
        <w:t>more</w:t>
      </w:r>
      <w:r w:rsidR="009C12A9" w:rsidRPr="005004C5">
        <w:rPr>
          <w:sz w:val="20"/>
        </w:rPr>
        <w:t xml:space="preserve"> efficient legal system and a </w:t>
      </w:r>
      <w:r w:rsidR="009C12A9">
        <w:rPr>
          <w:sz w:val="20"/>
        </w:rPr>
        <w:t>lower</w:t>
      </w:r>
      <w:r w:rsidR="009C12A9" w:rsidRPr="005004C5">
        <w:rPr>
          <w:sz w:val="20"/>
        </w:rPr>
        <w:t xml:space="preserve"> propensity </w:t>
      </w:r>
      <w:r w:rsidR="00750876">
        <w:rPr>
          <w:sz w:val="20"/>
        </w:rPr>
        <w:t>to</w:t>
      </w:r>
      <w:r w:rsidR="009C12A9">
        <w:rPr>
          <w:sz w:val="20"/>
        </w:rPr>
        <w:t xml:space="preserve"> </w:t>
      </w:r>
      <w:r w:rsidR="009C12A9" w:rsidRPr="005004C5">
        <w:rPr>
          <w:sz w:val="20"/>
        </w:rPr>
        <w:t xml:space="preserve">corruption </w:t>
      </w:r>
      <w:r w:rsidR="009C12A9">
        <w:rPr>
          <w:sz w:val="20"/>
        </w:rPr>
        <w:t>improve</w:t>
      </w:r>
      <w:r w:rsidR="009C12A9" w:rsidRPr="005004C5">
        <w:rPr>
          <w:sz w:val="20"/>
        </w:rPr>
        <w:t xml:space="preserve"> the </w:t>
      </w:r>
      <w:r w:rsidR="00B5046E">
        <w:rPr>
          <w:sz w:val="20"/>
        </w:rPr>
        <w:t xml:space="preserve">employment </w:t>
      </w:r>
      <w:r w:rsidR="009C12A9" w:rsidRPr="005004C5">
        <w:rPr>
          <w:sz w:val="20"/>
        </w:rPr>
        <w:t>performance</w:t>
      </w:r>
      <w:r w:rsidR="009C12A9">
        <w:rPr>
          <w:sz w:val="20"/>
        </w:rPr>
        <w:t xml:space="preserve"> of</w:t>
      </w:r>
      <w:r w:rsidR="009C12A9" w:rsidRPr="005004C5">
        <w:rPr>
          <w:sz w:val="20"/>
        </w:rPr>
        <w:t xml:space="preserve"> </w:t>
      </w:r>
      <w:r w:rsidR="009C12A9">
        <w:rPr>
          <w:sz w:val="20"/>
        </w:rPr>
        <w:t>regions</w:t>
      </w:r>
      <w:r w:rsidR="009C12A9" w:rsidRPr="005004C5">
        <w:rPr>
          <w:sz w:val="20"/>
        </w:rPr>
        <w:t>.</w:t>
      </w:r>
      <w:r w:rsidR="009C12A9">
        <w:rPr>
          <w:sz w:val="20"/>
        </w:rPr>
        <w:t xml:space="preserve">  </w:t>
      </w:r>
    </w:p>
    <w:p w14:paraId="57C77E96" w14:textId="77777777" w:rsidR="00DE1F99" w:rsidRDefault="00085918" w:rsidP="000C4BCA">
      <w:pPr>
        <w:pStyle w:val="SectionHeading"/>
        <w:numPr>
          <w:ilvl w:val="0"/>
          <w:numId w:val="8"/>
        </w:numPr>
        <w:tabs>
          <w:tab w:val="left" w:pos="284"/>
        </w:tabs>
        <w:ind w:left="284" w:hanging="284"/>
      </w:pPr>
      <w:r>
        <w:lastRenderedPageBreak/>
        <w:t>C</w:t>
      </w:r>
      <w:r w:rsidR="00DB2F52">
        <w:t xml:space="preserve">onclusions </w:t>
      </w:r>
    </w:p>
    <w:p w14:paraId="1B503382" w14:textId="661C8529" w:rsidR="00B813FC" w:rsidRDefault="00C968EF" w:rsidP="00830103">
      <w:pPr>
        <w:pStyle w:val="Maintext"/>
        <w:rPr>
          <w:sz w:val="20"/>
        </w:rPr>
      </w:pPr>
      <w:r>
        <w:rPr>
          <w:sz w:val="20"/>
          <w:lang w:val="en-US"/>
        </w:rPr>
        <w:t>Except</w:t>
      </w:r>
      <w:r w:rsidR="001141C8">
        <w:rPr>
          <w:sz w:val="20"/>
        </w:rPr>
        <w:t xml:space="preserve"> for Germany, </w:t>
      </w:r>
      <w:r w:rsidR="001E38A1">
        <w:rPr>
          <w:sz w:val="20"/>
        </w:rPr>
        <w:t xml:space="preserve">the convergence process </w:t>
      </w:r>
      <w:r>
        <w:rPr>
          <w:sz w:val="20"/>
        </w:rPr>
        <w:t>seem</w:t>
      </w:r>
      <w:r w:rsidR="00F43A26">
        <w:rPr>
          <w:sz w:val="20"/>
        </w:rPr>
        <w:t>s</w:t>
      </w:r>
      <w:r w:rsidR="001E38A1">
        <w:rPr>
          <w:sz w:val="20"/>
        </w:rPr>
        <w:t xml:space="preserve"> not</w:t>
      </w:r>
      <w:r>
        <w:rPr>
          <w:sz w:val="20"/>
        </w:rPr>
        <w:t xml:space="preserve"> to be</w:t>
      </w:r>
      <w:r w:rsidR="001E38A1">
        <w:rPr>
          <w:sz w:val="20"/>
        </w:rPr>
        <w:t xml:space="preserve"> </w:t>
      </w:r>
      <w:r w:rsidR="00A47C50">
        <w:rPr>
          <w:sz w:val="20"/>
        </w:rPr>
        <w:t>closely</w:t>
      </w:r>
      <w:r w:rsidR="001E38A1">
        <w:rPr>
          <w:sz w:val="20"/>
        </w:rPr>
        <w:t xml:space="preserve"> linked to the EU funding</w:t>
      </w:r>
      <w:r w:rsidR="00F43A26">
        <w:rPr>
          <w:sz w:val="20"/>
        </w:rPr>
        <w:t>. C</w:t>
      </w:r>
      <w:r>
        <w:rPr>
          <w:sz w:val="20"/>
        </w:rPr>
        <w:t xml:space="preserve">ountries </w:t>
      </w:r>
      <w:r w:rsidR="003F07CA">
        <w:rPr>
          <w:sz w:val="20"/>
        </w:rPr>
        <w:t xml:space="preserve">whose labour markets </w:t>
      </w:r>
      <w:r w:rsidR="002000AB">
        <w:rPr>
          <w:sz w:val="20"/>
        </w:rPr>
        <w:t>are characterised by</w:t>
      </w:r>
      <w:r w:rsidR="003F07CA">
        <w:rPr>
          <w:sz w:val="20"/>
        </w:rPr>
        <w:t xml:space="preserve"> hybrid pattern</w:t>
      </w:r>
      <w:r w:rsidR="002000AB">
        <w:rPr>
          <w:sz w:val="20"/>
        </w:rPr>
        <w:t xml:space="preserve">s </w:t>
      </w:r>
      <w:r w:rsidR="00D51921">
        <w:rPr>
          <w:sz w:val="20"/>
        </w:rPr>
        <w:t xml:space="preserve">(either polarised or upgraded) </w:t>
      </w:r>
      <w:r w:rsidR="003F07CA">
        <w:rPr>
          <w:sz w:val="20"/>
        </w:rPr>
        <w:t>with a joint contraction of low-, middle- and high-skill jobs</w:t>
      </w:r>
      <w:r w:rsidR="002C4E00" w:rsidRPr="002C4E00">
        <w:rPr>
          <w:sz w:val="20"/>
        </w:rPr>
        <w:t xml:space="preserve"> </w:t>
      </w:r>
      <w:r w:rsidR="004A0363" w:rsidRPr="00BD6E89">
        <w:rPr>
          <w:sz w:val="20"/>
        </w:rPr>
        <w:t>[</w:t>
      </w:r>
      <w:r w:rsidR="004A0363">
        <w:rPr>
          <w:sz w:val="20"/>
        </w:rPr>
        <w:t>7</w:t>
      </w:r>
      <w:r w:rsidR="00CE5C27">
        <w:rPr>
          <w:sz w:val="20"/>
        </w:rPr>
        <w:t xml:space="preserve">; </w:t>
      </w:r>
      <w:r w:rsidR="004A0363" w:rsidRPr="00BD6E89">
        <w:rPr>
          <w:sz w:val="20"/>
        </w:rPr>
        <w:t>1</w:t>
      </w:r>
      <w:r w:rsidR="00F57896">
        <w:rPr>
          <w:sz w:val="20"/>
        </w:rPr>
        <w:t>1</w:t>
      </w:r>
      <w:r w:rsidR="004A0363" w:rsidRPr="00BD6E89">
        <w:rPr>
          <w:sz w:val="20"/>
        </w:rPr>
        <w:t>]</w:t>
      </w:r>
      <w:r w:rsidR="002C4E00">
        <w:rPr>
          <w:sz w:val="20"/>
        </w:rPr>
        <w:t xml:space="preserve"> </w:t>
      </w:r>
      <w:r w:rsidR="0072673A">
        <w:rPr>
          <w:sz w:val="20"/>
        </w:rPr>
        <w:t xml:space="preserve">even </w:t>
      </w:r>
      <w:r w:rsidR="002000AB">
        <w:rPr>
          <w:sz w:val="20"/>
        </w:rPr>
        <w:t>show</w:t>
      </w:r>
      <w:r w:rsidR="003F07CA">
        <w:rPr>
          <w:sz w:val="20"/>
        </w:rPr>
        <w:t xml:space="preserve"> </w:t>
      </w:r>
      <w:r w:rsidR="00252E58">
        <w:rPr>
          <w:sz w:val="20"/>
        </w:rPr>
        <w:t>wider divergence</w:t>
      </w:r>
      <w:r w:rsidR="0072673A">
        <w:rPr>
          <w:sz w:val="20"/>
        </w:rPr>
        <w:t>s</w:t>
      </w:r>
      <w:r w:rsidR="00252E58">
        <w:rPr>
          <w:sz w:val="20"/>
        </w:rPr>
        <w:t xml:space="preserve"> at the end </w:t>
      </w:r>
      <w:r w:rsidR="008F4299">
        <w:rPr>
          <w:sz w:val="20"/>
        </w:rPr>
        <w:t xml:space="preserve">of 2007-2013 period. </w:t>
      </w:r>
      <w:r w:rsidR="0037061B">
        <w:rPr>
          <w:sz w:val="20"/>
        </w:rPr>
        <w:t xml:space="preserve">Italy </w:t>
      </w:r>
      <w:r w:rsidR="00F4237B">
        <w:rPr>
          <w:sz w:val="20"/>
        </w:rPr>
        <w:t xml:space="preserve">experienced </w:t>
      </w:r>
      <w:r w:rsidR="0037061B">
        <w:rPr>
          <w:sz w:val="20"/>
        </w:rPr>
        <w:t xml:space="preserve">a reduction in </w:t>
      </w:r>
      <w:r w:rsidR="00325452">
        <w:rPr>
          <w:sz w:val="20"/>
        </w:rPr>
        <w:t xml:space="preserve">employment rates </w:t>
      </w:r>
      <w:r w:rsidR="0037061B">
        <w:rPr>
          <w:sz w:val="20"/>
        </w:rPr>
        <w:t xml:space="preserve">throughout the entire territory and an </w:t>
      </w:r>
      <w:r w:rsidR="00325452">
        <w:rPr>
          <w:sz w:val="20"/>
        </w:rPr>
        <w:t xml:space="preserve">increasing </w:t>
      </w:r>
      <w:r w:rsidR="00760E9F">
        <w:rPr>
          <w:sz w:val="20"/>
        </w:rPr>
        <w:t xml:space="preserve">territorial </w:t>
      </w:r>
      <w:r w:rsidR="00325452">
        <w:rPr>
          <w:sz w:val="20"/>
        </w:rPr>
        <w:t xml:space="preserve">divergence </w:t>
      </w:r>
      <w:r w:rsidR="00760E9F">
        <w:rPr>
          <w:sz w:val="20"/>
        </w:rPr>
        <w:t>that stat</w:t>
      </w:r>
      <w:r w:rsidR="002D3E0A">
        <w:rPr>
          <w:sz w:val="20"/>
        </w:rPr>
        <w:t xml:space="preserve">es the </w:t>
      </w:r>
      <w:r w:rsidR="00325452">
        <w:rPr>
          <w:sz w:val="20"/>
        </w:rPr>
        <w:t xml:space="preserve">failure of EU </w:t>
      </w:r>
      <w:r w:rsidR="00760E9F">
        <w:rPr>
          <w:sz w:val="20"/>
        </w:rPr>
        <w:t>funding</w:t>
      </w:r>
      <w:r w:rsidR="00325452">
        <w:rPr>
          <w:sz w:val="20"/>
        </w:rPr>
        <w:t xml:space="preserve">. </w:t>
      </w:r>
      <w:r w:rsidR="00760E9F">
        <w:rPr>
          <w:sz w:val="20"/>
        </w:rPr>
        <w:t>I</w:t>
      </w:r>
      <w:r w:rsidR="002243A7">
        <w:rPr>
          <w:sz w:val="20"/>
        </w:rPr>
        <w:t>nefficienc</w:t>
      </w:r>
      <w:r w:rsidR="00760E9F">
        <w:rPr>
          <w:sz w:val="20"/>
        </w:rPr>
        <w:t>ies</w:t>
      </w:r>
      <w:r w:rsidR="002243A7">
        <w:rPr>
          <w:sz w:val="20"/>
        </w:rPr>
        <w:t xml:space="preserve"> of national policies and </w:t>
      </w:r>
      <w:r w:rsidR="003C0793">
        <w:rPr>
          <w:sz w:val="20"/>
        </w:rPr>
        <w:t>the poor</w:t>
      </w:r>
      <w:r w:rsidR="004B75BE">
        <w:rPr>
          <w:sz w:val="20"/>
        </w:rPr>
        <w:t xml:space="preserve"> </w:t>
      </w:r>
      <w:r w:rsidR="006B0F12" w:rsidRPr="00D764C8">
        <w:rPr>
          <w:sz w:val="20"/>
        </w:rPr>
        <w:t>quality of insti</w:t>
      </w:r>
      <w:bookmarkStart w:id="0" w:name="_GoBack"/>
      <w:bookmarkEnd w:id="0"/>
      <w:r w:rsidR="006B0F12" w:rsidRPr="00D764C8">
        <w:rPr>
          <w:sz w:val="20"/>
        </w:rPr>
        <w:t>tutions</w:t>
      </w:r>
      <w:r w:rsidR="00B813FC">
        <w:rPr>
          <w:sz w:val="20"/>
        </w:rPr>
        <w:t xml:space="preserve"> </w:t>
      </w:r>
      <w:r w:rsidR="0025536E">
        <w:rPr>
          <w:sz w:val="20"/>
        </w:rPr>
        <w:t xml:space="preserve">reflected in </w:t>
      </w:r>
      <w:r w:rsidR="003C0793">
        <w:rPr>
          <w:sz w:val="20"/>
        </w:rPr>
        <w:t>bureaucracy</w:t>
      </w:r>
      <w:r w:rsidR="003C0793" w:rsidRPr="003C0793">
        <w:rPr>
          <w:sz w:val="20"/>
        </w:rPr>
        <w:t xml:space="preserve"> and </w:t>
      </w:r>
      <w:hyperlink r:id="rId12" w:history="1">
        <w:r w:rsidR="0025536E" w:rsidRPr="00155C4A">
          <w:rPr>
            <w:sz w:val="20"/>
          </w:rPr>
          <w:t>mismanagement</w:t>
        </w:r>
      </w:hyperlink>
      <w:r w:rsidR="00B921CD">
        <w:rPr>
          <w:sz w:val="20"/>
        </w:rPr>
        <w:t xml:space="preserve"> of funds</w:t>
      </w:r>
      <w:r w:rsidR="003C0793">
        <w:rPr>
          <w:sz w:val="20"/>
        </w:rPr>
        <w:t xml:space="preserve">, </w:t>
      </w:r>
      <w:r w:rsidR="00AD456B">
        <w:rPr>
          <w:sz w:val="20"/>
        </w:rPr>
        <w:t xml:space="preserve">which </w:t>
      </w:r>
      <w:r w:rsidR="003C0793">
        <w:rPr>
          <w:sz w:val="20"/>
        </w:rPr>
        <w:t>enabl</w:t>
      </w:r>
      <w:r w:rsidR="00AD456B">
        <w:rPr>
          <w:sz w:val="20"/>
        </w:rPr>
        <w:t xml:space="preserve">e </w:t>
      </w:r>
      <w:r w:rsidR="001132CC">
        <w:rPr>
          <w:sz w:val="20"/>
        </w:rPr>
        <w:t>synergies</w:t>
      </w:r>
      <w:r w:rsidR="00D27643">
        <w:rPr>
          <w:sz w:val="20"/>
        </w:rPr>
        <w:t xml:space="preserve"> between </w:t>
      </w:r>
      <w:r w:rsidR="00144EDF">
        <w:rPr>
          <w:sz w:val="20"/>
        </w:rPr>
        <w:t xml:space="preserve">different </w:t>
      </w:r>
      <w:r w:rsidR="00D55B7B">
        <w:rPr>
          <w:sz w:val="20"/>
        </w:rPr>
        <w:t xml:space="preserve">funding </w:t>
      </w:r>
      <w:r w:rsidR="00144EDF">
        <w:rPr>
          <w:sz w:val="20"/>
        </w:rPr>
        <w:t xml:space="preserve">sources </w:t>
      </w:r>
      <w:r w:rsidR="003C0793">
        <w:rPr>
          <w:sz w:val="20"/>
        </w:rPr>
        <w:t xml:space="preserve">with </w:t>
      </w:r>
      <w:r w:rsidR="00B813FC">
        <w:rPr>
          <w:sz w:val="20"/>
        </w:rPr>
        <w:t xml:space="preserve">restriction </w:t>
      </w:r>
      <w:r w:rsidR="00316205">
        <w:rPr>
          <w:sz w:val="20"/>
        </w:rPr>
        <w:t>in</w:t>
      </w:r>
      <w:r w:rsidR="00B813FC">
        <w:rPr>
          <w:sz w:val="20"/>
        </w:rPr>
        <w:t xml:space="preserve"> national fund</w:t>
      </w:r>
      <w:r w:rsidR="001D71E9">
        <w:rPr>
          <w:sz w:val="20"/>
        </w:rPr>
        <w:t xml:space="preserve">s </w:t>
      </w:r>
      <w:r w:rsidR="007E2219">
        <w:rPr>
          <w:sz w:val="20"/>
        </w:rPr>
        <w:t xml:space="preserve">when a </w:t>
      </w:r>
      <w:r w:rsidR="00D27643">
        <w:rPr>
          <w:sz w:val="20"/>
        </w:rPr>
        <w:t>l</w:t>
      </w:r>
      <w:r w:rsidR="00B813FC">
        <w:rPr>
          <w:sz w:val="20"/>
        </w:rPr>
        <w:t>arger availability of EU fund</w:t>
      </w:r>
      <w:r w:rsidR="00901DA4">
        <w:rPr>
          <w:sz w:val="20"/>
        </w:rPr>
        <w:t>s</w:t>
      </w:r>
      <w:r w:rsidR="006B3F5C">
        <w:rPr>
          <w:sz w:val="20"/>
        </w:rPr>
        <w:t xml:space="preserve"> </w:t>
      </w:r>
      <w:r w:rsidR="00581B05">
        <w:rPr>
          <w:sz w:val="20"/>
        </w:rPr>
        <w:t xml:space="preserve">existed </w:t>
      </w:r>
      <w:r w:rsidR="00F57896" w:rsidRPr="00BD6E89">
        <w:rPr>
          <w:sz w:val="20"/>
        </w:rPr>
        <w:t>[</w:t>
      </w:r>
      <w:r w:rsidR="00F57896">
        <w:rPr>
          <w:sz w:val="20"/>
        </w:rPr>
        <w:t>5</w:t>
      </w:r>
      <w:r w:rsidR="00F57896" w:rsidRPr="00BD6E89">
        <w:rPr>
          <w:sz w:val="20"/>
        </w:rPr>
        <w:t>]</w:t>
      </w:r>
      <w:r w:rsidR="006B3F5C">
        <w:rPr>
          <w:sz w:val="20"/>
        </w:rPr>
        <w:t xml:space="preserve">. </w:t>
      </w:r>
    </w:p>
    <w:p w14:paraId="6ED4D518" w14:textId="77777777" w:rsidR="00DE1F99" w:rsidRDefault="00DE1F99" w:rsidP="00DE1F99">
      <w:pPr>
        <w:pStyle w:val="References"/>
      </w:pPr>
      <w:r>
        <w:t>References</w:t>
      </w:r>
    </w:p>
    <w:p w14:paraId="0C34C9E0" w14:textId="77777777" w:rsidR="00E65171" w:rsidRDefault="00E65171" w:rsidP="00F72898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proofErr w:type="spellStart"/>
      <w:r w:rsidRPr="0045270B">
        <w:t>Acemoglu</w:t>
      </w:r>
      <w:proofErr w:type="spellEnd"/>
      <w:r w:rsidRPr="0045270B">
        <w:t>, D., Robinson, J.</w:t>
      </w:r>
      <w:r>
        <w:t>:</w:t>
      </w:r>
      <w:r w:rsidRPr="0045270B">
        <w:t xml:space="preserve"> The role of institutions in growth and development. </w:t>
      </w:r>
      <w:r w:rsidRPr="00D65DAE">
        <w:t>World Bank,</w:t>
      </w:r>
      <w:r w:rsidRPr="0045270B">
        <w:t xml:space="preserve"> Washington DC.</w:t>
      </w:r>
      <w:r w:rsidRPr="00D65DAE">
        <w:t xml:space="preserve"> </w:t>
      </w:r>
      <w:r w:rsidRPr="0045270B">
        <w:t>(2</w:t>
      </w:r>
      <w:r>
        <w:t>008)</w:t>
      </w:r>
    </w:p>
    <w:p w14:paraId="60313DDC" w14:textId="77777777" w:rsidR="00E65171" w:rsidRDefault="00E65171" w:rsidP="003C2660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proofErr w:type="spellStart"/>
      <w:r w:rsidRPr="003C2660">
        <w:rPr>
          <w:lang w:val="en-GB"/>
        </w:rPr>
        <w:t>Arbia</w:t>
      </w:r>
      <w:proofErr w:type="spellEnd"/>
      <w:r w:rsidRPr="003C2660">
        <w:rPr>
          <w:lang w:val="en-GB"/>
        </w:rPr>
        <w:t xml:space="preserve"> G., Le Gallo J., </w:t>
      </w:r>
      <w:proofErr w:type="spellStart"/>
      <w:r w:rsidRPr="003C2660">
        <w:rPr>
          <w:lang w:val="en-GB"/>
        </w:rPr>
        <w:t>Piras</w:t>
      </w:r>
      <w:proofErr w:type="spellEnd"/>
      <w:r w:rsidRPr="003C2660">
        <w:rPr>
          <w:lang w:val="en-GB"/>
        </w:rPr>
        <w:t xml:space="preserve">, </w:t>
      </w:r>
      <w:proofErr w:type="gramStart"/>
      <w:r w:rsidRPr="003C2660">
        <w:rPr>
          <w:lang w:val="en-GB"/>
        </w:rPr>
        <w:t>G</w:t>
      </w:r>
      <w:proofErr w:type="gramEnd"/>
      <w:r w:rsidRPr="003C2660">
        <w:rPr>
          <w:lang w:val="en-GB"/>
        </w:rPr>
        <w:t xml:space="preserve">.: </w:t>
      </w:r>
      <w:r w:rsidRPr="00476E7A">
        <w:t>Does evidence on regional economic convergence depend on the estimation strategy? Outcomes from analysis of a set of NUTS2 EU regions. Spatial economic analysis 3(2), 209-224</w:t>
      </w:r>
      <w:r w:rsidRPr="003C2660">
        <w:rPr>
          <w:lang w:val="en-GB"/>
        </w:rPr>
        <w:t xml:space="preserve"> (2008)</w:t>
      </w:r>
    </w:p>
    <w:p w14:paraId="5C1F168F" w14:textId="77777777" w:rsidR="00E65171" w:rsidRDefault="00E65171" w:rsidP="00F72898">
      <w:pPr>
        <w:pStyle w:val="Referenceslist"/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</w:pPr>
      <w:proofErr w:type="spellStart"/>
      <w:r w:rsidRPr="005418D3">
        <w:t>Ashenfelter</w:t>
      </w:r>
      <w:proofErr w:type="spellEnd"/>
      <w:r w:rsidRPr="005418D3">
        <w:t>, O.</w:t>
      </w:r>
      <w:r>
        <w:t>:</w:t>
      </w:r>
      <w:r w:rsidRPr="005418D3">
        <w:t xml:space="preserve"> Estimating the Effect of Training Programs on Earnings</w:t>
      </w:r>
      <w:r>
        <w:t>.</w:t>
      </w:r>
      <w:r w:rsidRPr="005418D3">
        <w:t xml:space="preserve"> Review of Economics</w:t>
      </w:r>
      <w:r>
        <w:t xml:space="preserve"> </w:t>
      </w:r>
      <w:r w:rsidRPr="005418D3">
        <w:t>and Statistic</w:t>
      </w:r>
      <w:r>
        <w:t>s</w:t>
      </w:r>
      <w:r w:rsidRPr="005418D3">
        <w:t xml:space="preserve"> 60, 47-57</w:t>
      </w:r>
      <w:r w:rsidRPr="003F2B74">
        <w:t xml:space="preserve"> </w:t>
      </w:r>
      <w:r>
        <w:t>(1978)</w:t>
      </w:r>
    </w:p>
    <w:p w14:paraId="2FB14C88" w14:textId="77777777" w:rsidR="00E65171" w:rsidRPr="002C105A" w:rsidRDefault="00E65171" w:rsidP="00476E7A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proofErr w:type="spellStart"/>
      <w:r w:rsidRPr="002C105A">
        <w:t>Bähr</w:t>
      </w:r>
      <w:proofErr w:type="spellEnd"/>
      <w:r w:rsidRPr="002C105A">
        <w:t xml:space="preserve"> C.: How does sub-national autonomy affect the effectiveness of structural funds</w:t>
      </w:r>
      <w:proofErr w:type="gramStart"/>
      <w:r w:rsidRPr="002C105A">
        <w:t>?.</w:t>
      </w:r>
      <w:proofErr w:type="gramEnd"/>
      <w:r w:rsidRPr="002C105A">
        <w:t> </w:t>
      </w:r>
      <w:proofErr w:type="spellStart"/>
      <w:r w:rsidRPr="002C105A">
        <w:t>Kyklos</w:t>
      </w:r>
      <w:proofErr w:type="spellEnd"/>
      <w:r w:rsidRPr="002C105A">
        <w:t> 61(1), 3-18 (2008)</w:t>
      </w:r>
    </w:p>
    <w:p w14:paraId="3FD1DC6A" w14:textId="77777777" w:rsidR="00E65171" w:rsidRDefault="00E65171" w:rsidP="003C2660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r w:rsidRPr="002C105A">
        <w:t xml:space="preserve">Becker S.O., Egger P.H., Von Ehrlich M.: </w:t>
      </w:r>
      <w:r>
        <w:t>E</w:t>
      </w:r>
      <w:r w:rsidRPr="002C105A">
        <w:t>ffect</w:t>
      </w:r>
      <w:r>
        <w:t>s</w:t>
      </w:r>
      <w:r w:rsidRPr="002C105A">
        <w:t xml:space="preserve"> of EU </w:t>
      </w:r>
      <w:r>
        <w:t>Regional Policy: 1989-2013</w:t>
      </w:r>
      <w:r w:rsidRPr="00DE06BA">
        <w:t>. </w:t>
      </w:r>
      <w:r>
        <w:t>Reginal Science and Urban Economics 69, 143-152 (2018).</w:t>
      </w:r>
    </w:p>
    <w:p w14:paraId="7101B4A2" w14:textId="77777777" w:rsidR="00E65171" w:rsidRDefault="00E65171" w:rsidP="00F72898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proofErr w:type="spellStart"/>
      <w:r w:rsidRPr="00B06B87">
        <w:t>Boltho</w:t>
      </w:r>
      <w:proofErr w:type="spellEnd"/>
      <w:r w:rsidRPr="00B06B87">
        <w:t xml:space="preserve">, A., Glyn, </w:t>
      </w:r>
      <w:proofErr w:type="gramStart"/>
      <w:r w:rsidRPr="00B06B87">
        <w:t>A</w:t>
      </w:r>
      <w:proofErr w:type="gramEnd"/>
      <w:r w:rsidRPr="00B06B87">
        <w:t>.</w:t>
      </w:r>
      <w:r>
        <w:t>:</w:t>
      </w:r>
      <w:r w:rsidRPr="00B06B87">
        <w:t xml:space="preserve"> Can macroeconomic policies raise employment. </w:t>
      </w:r>
      <w:r w:rsidRPr="00D65DAE">
        <w:t>International Labour Review</w:t>
      </w:r>
      <w:r w:rsidRPr="00B06B87">
        <w:t xml:space="preserve"> </w:t>
      </w:r>
      <w:r w:rsidRPr="00D65DAE">
        <w:t>134,</w:t>
      </w:r>
      <w:r w:rsidRPr="00B06B87">
        <w:t xml:space="preserve"> 451</w:t>
      </w:r>
      <w:r>
        <w:t>-470</w:t>
      </w:r>
      <w:r w:rsidRPr="00D65DAE">
        <w:t xml:space="preserve"> </w:t>
      </w:r>
      <w:r>
        <w:t>(1995)</w:t>
      </w:r>
    </w:p>
    <w:p w14:paraId="697B9ACB" w14:textId="77777777" w:rsidR="00E65171" w:rsidRPr="002C105A" w:rsidRDefault="00E65171" w:rsidP="00DE06BA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r w:rsidRPr="002C105A">
        <w:rPr>
          <w:lang w:val="en-GB"/>
        </w:rPr>
        <w:t xml:space="preserve">Castellano R., </w:t>
      </w:r>
      <w:proofErr w:type="spellStart"/>
      <w:r w:rsidRPr="002C105A">
        <w:rPr>
          <w:lang w:val="en-GB"/>
        </w:rPr>
        <w:t>Musella</w:t>
      </w:r>
      <w:proofErr w:type="spellEnd"/>
      <w:r w:rsidRPr="002C105A">
        <w:rPr>
          <w:lang w:val="en-GB"/>
        </w:rPr>
        <w:t xml:space="preserve"> G., Punzo G.: </w:t>
      </w:r>
      <w:r w:rsidRPr="002C105A">
        <w:t>Structure of the labour market and wage inequality: evidence from European countries. Quality &amp; Quantity 51(5), 2191-2218</w:t>
      </w:r>
      <w:r w:rsidRPr="002C105A">
        <w:rPr>
          <w:lang w:val="en-GB"/>
        </w:rPr>
        <w:t xml:space="preserve"> (2017)</w:t>
      </w:r>
    </w:p>
    <w:p w14:paraId="45EE45D2" w14:textId="77777777" w:rsidR="00E65171" w:rsidRPr="000654B2" w:rsidRDefault="00E65171" w:rsidP="003F2493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r w:rsidRPr="000654B2">
        <w:rPr>
          <w:lang w:val="en-GB"/>
        </w:rPr>
        <w:t xml:space="preserve">Di </w:t>
      </w:r>
      <w:proofErr w:type="spellStart"/>
      <w:r w:rsidRPr="000654B2">
        <w:rPr>
          <w:lang w:val="en-GB"/>
        </w:rPr>
        <w:t>Liberto</w:t>
      </w:r>
      <w:proofErr w:type="spellEnd"/>
      <w:r w:rsidRPr="000654B2">
        <w:rPr>
          <w:lang w:val="en-GB"/>
        </w:rPr>
        <w:t xml:space="preserve">, A., </w:t>
      </w:r>
      <w:proofErr w:type="spellStart"/>
      <w:r w:rsidRPr="000654B2">
        <w:rPr>
          <w:lang w:val="en-GB"/>
        </w:rPr>
        <w:t>Sideri</w:t>
      </w:r>
      <w:proofErr w:type="spellEnd"/>
      <w:r w:rsidRPr="000654B2">
        <w:rPr>
          <w:lang w:val="en-GB"/>
        </w:rPr>
        <w:t xml:space="preserve">, M.: </w:t>
      </w:r>
      <w:r w:rsidRPr="001E73D1">
        <w:t xml:space="preserve">Past dominations, current institutions and the Italian regional economic performance. </w:t>
      </w:r>
      <w:r w:rsidRPr="00D65DAE">
        <w:t>European Journal of Political Economy</w:t>
      </w:r>
      <w:r w:rsidRPr="001E73D1">
        <w:t xml:space="preserve"> </w:t>
      </w:r>
      <w:r w:rsidRPr="00D65DAE">
        <w:t>38,</w:t>
      </w:r>
      <w:r w:rsidRPr="001E73D1">
        <w:t xml:space="preserve"> 12-41</w:t>
      </w:r>
      <w:r>
        <w:t xml:space="preserve"> </w:t>
      </w:r>
      <w:r w:rsidRPr="000654B2">
        <w:rPr>
          <w:lang w:val="en-GB"/>
        </w:rPr>
        <w:t xml:space="preserve">(2015) </w:t>
      </w:r>
    </w:p>
    <w:p w14:paraId="60F96E97" w14:textId="77777777" w:rsidR="00E65171" w:rsidRPr="000654B2" w:rsidRDefault="00E65171" w:rsidP="000654B2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r w:rsidRPr="000654B2">
        <w:rPr>
          <w:shd w:val="clear" w:color="auto" w:fill="FFFFFF"/>
        </w:rPr>
        <w:t>European Commission</w:t>
      </w:r>
      <w:r>
        <w:rPr>
          <w:shd w:val="clear" w:color="auto" w:fill="FFFFFF"/>
        </w:rPr>
        <w:t>:</w:t>
      </w:r>
      <w:r w:rsidRPr="000654B2">
        <w:rPr>
          <w:shd w:val="clear" w:color="auto" w:fill="FFFFFF"/>
        </w:rPr>
        <w:t xml:space="preserve"> An agenda for new skills and jobs: A European contribution towards full employment</w:t>
      </w:r>
      <w:r>
        <w:rPr>
          <w:shd w:val="clear" w:color="auto" w:fill="FFFFFF"/>
        </w:rPr>
        <w:t xml:space="preserve"> </w:t>
      </w:r>
      <w:r w:rsidRPr="000654B2">
        <w:rPr>
          <w:shd w:val="clear" w:color="auto" w:fill="FFFFFF"/>
        </w:rPr>
        <w:t>(2</w:t>
      </w:r>
      <w:r>
        <w:rPr>
          <w:shd w:val="clear" w:color="auto" w:fill="FFFFFF"/>
        </w:rPr>
        <w:t>010</w:t>
      </w:r>
      <w:r w:rsidRPr="000654B2">
        <w:rPr>
          <w:shd w:val="clear" w:color="auto" w:fill="FFFFFF"/>
        </w:rPr>
        <w:t>)</w:t>
      </w:r>
    </w:p>
    <w:p w14:paraId="5C1486DF" w14:textId="77777777" w:rsidR="00E65171" w:rsidRPr="000321DF" w:rsidRDefault="00E65171" w:rsidP="000321DF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r>
        <w:rPr>
          <w:lang w:val="en-GB"/>
        </w:rPr>
        <w:t xml:space="preserve">European Commission: European Structural and Investments Funds 2014-2020: Official text and commentaries. Luxembourg: Publication Office of the European Union (2015) </w:t>
      </w:r>
    </w:p>
    <w:p w14:paraId="1A87080F" w14:textId="77777777" w:rsidR="00E65171" w:rsidRPr="002C105A" w:rsidRDefault="00E65171" w:rsidP="00DE06BA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proofErr w:type="spellStart"/>
      <w:r w:rsidRPr="002C105A">
        <w:t>Garofalo</w:t>
      </w:r>
      <w:proofErr w:type="spellEnd"/>
      <w:r w:rsidRPr="002C105A">
        <w:t xml:space="preserve"> A., Castellano R., </w:t>
      </w:r>
      <w:proofErr w:type="gramStart"/>
      <w:r w:rsidRPr="002C105A">
        <w:t>Punzo</w:t>
      </w:r>
      <w:proofErr w:type="gramEnd"/>
      <w:r w:rsidRPr="002C105A">
        <w:t xml:space="preserve"> G., </w:t>
      </w:r>
      <w:proofErr w:type="spellStart"/>
      <w:r w:rsidRPr="002C105A">
        <w:t>Musella</w:t>
      </w:r>
      <w:proofErr w:type="spellEnd"/>
      <w:r w:rsidRPr="002C105A">
        <w:t xml:space="preserve"> G.</w:t>
      </w:r>
      <w:r>
        <w:t>:</w:t>
      </w:r>
      <w:r w:rsidRPr="002C105A">
        <w:t xml:space="preserve"> Skills and labour incomes: how unequal is Italy as part of the Southern European countries?</w:t>
      </w:r>
      <w:r>
        <w:t xml:space="preserve"> </w:t>
      </w:r>
      <w:r w:rsidRPr="002C105A">
        <w:t>Quality &amp; Quantity 1-30 (2017)</w:t>
      </w:r>
    </w:p>
    <w:p w14:paraId="494CE245" w14:textId="77777777" w:rsidR="00E65171" w:rsidRPr="000321DF" w:rsidRDefault="00E65171" w:rsidP="000321DF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proofErr w:type="spellStart"/>
      <w:r w:rsidRPr="000321DF">
        <w:rPr>
          <w:lang w:eastAsia="en-GB"/>
        </w:rPr>
        <w:t>Huo</w:t>
      </w:r>
      <w:proofErr w:type="spellEnd"/>
      <w:r w:rsidRPr="000321DF">
        <w:rPr>
          <w:lang w:eastAsia="en-GB"/>
        </w:rPr>
        <w:t xml:space="preserve"> J., Nelson M., Stephens J.</w:t>
      </w:r>
      <w:r>
        <w:rPr>
          <w:lang w:eastAsia="en-GB"/>
        </w:rPr>
        <w:t>:</w:t>
      </w:r>
      <w:r w:rsidRPr="000321DF">
        <w:rPr>
          <w:lang w:eastAsia="en-GB"/>
        </w:rPr>
        <w:t> </w:t>
      </w:r>
      <w:proofErr w:type="spellStart"/>
      <w:r w:rsidRPr="000321DF">
        <w:rPr>
          <w:iCs/>
          <w:lang w:eastAsia="en-GB"/>
        </w:rPr>
        <w:t>Decommodification</w:t>
      </w:r>
      <w:proofErr w:type="spellEnd"/>
      <w:r w:rsidRPr="000321DF">
        <w:rPr>
          <w:iCs/>
          <w:lang w:eastAsia="en-GB"/>
        </w:rPr>
        <w:t xml:space="preserve"> and activation in social democratic policy: resolving the paradox</w:t>
      </w:r>
      <w:r>
        <w:rPr>
          <w:iCs/>
          <w:lang w:eastAsia="en-GB"/>
        </w:rPr>
        <w:t>.</w:t>
      </w:r>
      <w:r w:rsidRPr="000321DF">
        <w:rPr>
          <w:lang w:eastAsia="en-GB"/>
        </w:rPr>
        <w:t xml:space="preserve"> Journal of European Social policy 18</w:t>
      </w:r>
      <w:r>
        <w:rPr>
          <w:lang w:eastAsia="en-GB"/>
        </w:rPr>
        <w:t>,</w:t>
      </w:r>
      <w:r w:rsidRPr="000321DF">
        <w:rPr>
          <w:lang w:eastAsia="en-GB"/>
        </w:rPr>
        <w:t xml:space="preserve"> 5-20</w:t>
      </w:r>
      <w:r>
        <w:rPr>
          <w:lang w:eastAsia="en-GB"/>
        </w:rPr>
        <w:t xml:space="preserve"> (</w:t>
      </w:r>
      <w:r w:rsidRPr="000321DF">
        <w:rPr>
          <w:lang w:eastAsia="en-GB"/>
        </w:rPr>
        <w:t>2008</w:t>
      </w:r>
      <w:r>
        <w:rPr>
          <w:lang w:eastAsia="en-GB"/>
        </w:rPr>
        <w:t>)</w:t>
      </w:r>
    </w:p>
    <w:p w14:paraId="25913B19" w14:textId="77777777" w:rsidR="00E65171" w:rsidRPr="007A29A1" w:rsidRDefault="00E65171" w:rsidP="003C2660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proofErr w:type="spellStart"/>
      <w:r w:rsidRPr="003C2660">
        <w:rPr>
          <w:lang w:val="en-GB"/>
        </w:rPr>
        <w:t>Mohl</w:t>
      </w:r>
      <w:proofErr w:type="spellEnd"/>
      <w:r w:rsidRPr="003C2660">
        <w:rPr>
          <w:lang w:val="en-GB"/>
        </w:rPr>
        <w:t xml:space="preserve"> P., Hagen, </w:t>
      </w:r>
      <w:proofErr w:type="gramStart"/>
      <w:r w:rsidRPr="003C2660">
        <w:rPr>
          <w:lang w:val="en-GB"/>
        </w:rPr>
        <w:t>T</w:t>
      </w:r>
      <w:proofErr w:type="gramEnd"/>
      <w:r w:rsidRPr="003C2660">
        <w:rPr>
          <w:lang w:val="en-GB"/>
        </w:rPr>
        <w:t>.</w:t>
      </w:r>
      <w:r>
        <w:rPr>
          <w:lang w:val="en-GB"/>
        </w:rPr>
        <w:t>:</w:t>
      </w:r>
      <w:r w:rsidRPr="003C2660">
        <w:rPr>
          <w:lang w:val="en-GB"/>
        </w:rPr>
        <w:t xml:space="preserve"> Do EU structural funds promote regional growth? New evidence from various panel data approaches. Regional Science and Urban Economics 40(5), 353-365 </w:t>
      </w:r>
      <w:r>
        <w:rPr>
          <w:lang w:val="en-GB"/>
        </w:rPr>
        <w:t>(2010)</w:t>
      </w:r>
    </w:p>
    <w:p w14:paraId="4F94F33D" w14:textId="77777777" w:rsidR="00E65171" w:rsidRDefault="00E65171" w:rsidP="00F72898">
      <w:pPr>
        <w:pStyle w:val="Referenceslist"/>
        <w:tabs>
          <w:tab w:val="left" w:pos="360"/>
        </w:tabs>
        <w:ind w:left="360" w:hanging="360"/>
      </w:pPr>
      <w:r>
        <w:t>Mora, R.,</w:t>
      </w:r>
      <w:r w:rsidRPr="00565BDD">
        <w:t xml:space="preserve"> Reggio, </w:t>
      </w:r>
      <w:proofErr w:type="gramStart"/>
      <w:r w:rsidRPr="00565BDD">
        <w:t>I</w:t>
      </w:r>
      <w:proofErr w:type="gramEnd"/>
      <w:r w:rsidRPr="00565BDD">
        <w:t>.</w:t>
      </w:r>
      <w:r>
        <w:t>:</w:t>
      </w:r>
      <w:r w:rsidRPr="00565BDD">
        <w:t xml:space="preserve"> </w:t>
      </w:r>
      <w:proofErr w:type="spellStart"/>
      <w:r w:rsidRPr="00565BDD">
        <w:t>didq</w:t>
      </w:r>
      <w:proofErr w:type="spellEnd"/>
      <w:r w:rsidRPr="00565BDD">
        <w:t>: A command for treatment-effect estimation under alternative assumptions. Stata Journal 15(3), 796-808</w:t>
      </w:r>
      <w:r w:rsidRPr="003F2B74">
        <w:t xml:space="preserve"> </w:t>
      </w:r>
      <w:r>
        <w:t>(2015)</w:t>
      </w:r>
    </w:p>
    <w:p w14:paraId="20445E1A" w14:textId="77777777" w:rsidR="00E65171" w:rsidRPr="002C105A" w:rsidRDefault="00E65171" w:rsidP="000573DE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proofErr w:type="spellStart"/>
      <w:r w:rsidRPr="002C105A">
        <w:t>Nifo</w:t>
      </w:r>
      <w:proofErr w:type="spellEnd"/>
      <w:r w:rsidRPr="002C105A">
        <w:t xml:space="preserve">, A., </w:t>
      </w:r>
      <w:proofErr w:type="spellStart"/>
      <w:r w:rsidRPr="002C105A">
        <w:t>Vecchione</w:t>
      </w:r>
      <w:proofErr w:type="spellEnd"/>
      <w:r w:rsidRPr="002C105A">
        <w:t xml:space="preserve">, </w:t>
      </w:r>
      <w:proofErr w:type="gramStart"/>
      <w:r w:rsidRPr="002C105A">
        <w:t>G</w:t>
      </w:r>
      <w:proofErr w:type="gramEnd"/>
      <w:r w:rsidRPr="002C105A">
        <w:t>.</w:t>
      </w:r>
      <w:r>
        <w:t>:</w:t>
      </w:r>
      <w:r w:rsidRPr="002C105A">
        <w:t xml:space="preserve"> Do institutions play a role in skilled migration? The case of Italy. Regional Studies 48(10), 1628-1649</w:t>
      </w:r>
      <w:r w:rsidRPr="009278EC">
        <w:t xml:space="preserve"> </w:t>
      </w:r>
      <w:r w:rsidRPr="002C105A">
        <w:t>(2014).</w:t>
      </w:r>
    </w:p>
    <w:p w14:paraId="79DAD758" w14:textId="77777777" w:rsidR="00E65171" w:rsidRDefault="00E65171" w:rsidP="00F72898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proofErr w:type="spellStart"/>
      <w:r w:rsidRPr="00223608">
        <w:t>Padalino</w:t>
      </w:r>
      <w:proofErr w:type="spellEnd"/>
      <w:r w:rsidRPr="00223608">
        <w:t xml:space="preserve">, S., </w:t>
      </w:r>
      <w:proofErr w:type="spellStart"/>
      <w:r w:rsidRPr="00223608">
        <w:t>Vivarelli</w:t>
      </w:r>
      <w:proofErr w:type="spellEnd"/>
      <w:r w:rsidRPr="00223608">
        <w:t>, M.</w:t>
      </w:r>
      <w:r>
        <w:t xml:space="preserve">: </w:t>
      </w:r>
      <w:r w:rsidRPr="00223608">
        <w:t xml:space="preserve">The employment intensity of economic growth in the G-7 countries. </w:t>
      </w:r>
      <w:r w:rsidRPr="00D65DAE">
        <w:t>International Labour Review</w:t>
      </w:r>
      <w:r w:rsidRPr="00223608">
        <w:t xml:space="preserve"> 136, 191</w:t>
      </w:r>
      <w:r>
        <w:t>-213 (1997)</w:t>
      </w:r>
    </w:p>
    <w:p w14:paraId="5B844B3F" w14:textId="77777777" w:rsidR="00E65171" w:rsidRDefault="00E65171" w:rsidP="000573DE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r w:rsidRPr="001E73D1">
        <w:t>Rodríguez-Pose, A.</w:t>
      </w:r>
      <w:r>
        <w:t>:</w:t>
      </w:r>
      <w:r w:rsidRPr="001E73D1">
        <w:t xml:space="preserve"> Do institutions ma</w:t>
      </w:r>
      <w:r>
        <w:t xml:space="preserve">tter for regional development? </w:t>
      </w:r>
      <w:r w:rsidRPr="000C6B74">
        <w:t>Regional Studies 47(7),</w:t>
      </w:r>
      <w:r>
        <w:t xml:space="preserve"> 1034-1047</w:t>
      </w:r>
      <w:r w:rsidRPr="000C6B74">
        <w:t xml:space="preserve"> </w:t>
      </w:r>
      <w:r>
        <w:t xml:space="preserve">(2013) </w:t>
      </w:r>
    </w:p>
    <w:p w14:paraId="7D478886" w14:textId="77777777" w:rsidR="00E65171" w:rsidRDefault="00E65171" w:rsidP="00F72898">
      <w:pPr>
        <w:pStyle w:val="Referenceslist"/>
        <w:suppressAutoHyphens w:val="0"/>
        <w:autoSpaceDE w:val="0"/>
        <w:autoSpaceDN w:val="0"/>
        <w:adjustRightInd w:val="0"/>
        <w:ind w:left="360" w:hanging="360"/>
      </w:pPr>
      <w:proofErr w:type="spellStart"/>
      <w:r w:rsidRPr="003D58E4">
        <w:t>Seyfried</w:t>
      </w:r>
      <w:proofErr w:type="spellEnd"/>
      <w:r w:rsidRPr="003D58E4">
        <w:t>, W.</w:t>
      </w:r>
      <w:r>
        <w:t>:</w:t>
      </w:r>
      <w:r w:rsidRPr="003D58E4">
        <w:t xml:space="preserve"> Examining the relationship between employment and economic growth in the ten largest states. </w:t>
      </w:r>
      <w:r w:rsidRPr="00D65DAE">
        <w:t>Southwestern Economic Review</w:t>
      </w:r>
      <w:r>
        <w:t xml:space="preserve"> 32, 13-24 (2011)</w:t>
      </w:r>
    </w:p>
    <w:sectPr w:rsidR="00E65171" w:rsidSect="000420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1928" w:right="2552" w:bottom="4026" w:left="2552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ACE920" w16cid:durableId="1E8633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6A278" w14:textId="77777777" w:rsidR="00FC20B5" w:rsidRDefault="00FC20B5">
      <w:r>
        <w:separator/>
      </w:r>
    </w:p>
  </w:endnote>
  <w:endnote w:type="continuationSeparator" w:id="0">
    <w:p w14:paraId="7DFD5ADA" w14:textId="77777777" w:rsidR="00FC20B5" w:rsidRDefault="00FC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-Medi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146A" w14:textId="77777777" w:rsidR="007762BF" w:rsidRDefault="007762B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503106"/>
      <w:docPartObj>
        <w:docPartGallery w:val="Page Numbers (Bottom of Page)"/>
        <w:docPartUnique/>
      </w:docPartObj>
    </w:sdtPr>
    <w:sdtEndPr/>
    <w:sdtContent>
      <w:p w14:paraId="786217D2" w14:textId="39C6B3D6" w:rsidR="007762BF" w:rsidRDefault="007762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6B" w:rsidRPr="00AD456B">
          <w:rPr>
            <w:noProof/>
            <w:lang w:val="it-IT"/>
          </w:rPr>
          <w:t>9</w:t>
        </w:r>
        <w:r>
          <w:fldChar w:fldCharType="end"/>
        </w:r>
      </w:p>
    </w:sdtContent>
  </w:sdt>
  <w:p w14:paraId="414A8FA2" w14:textId="77777777" w:rsidR="007762BF" w:rsidRDefault="007762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437EB" w14:textId="77777777" w:rsidR="007762BF" w:rsidRDefault="007762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431C8" w14:textId="77777777" w:rsidR="00FC20B5" w:rsidRDefault="00FC20B5">
      <w:r>
        <w:separator/>
      </w:r>
    </w:p>
  </w:footnote>
  <w:footnote w:type="continuationSeparator" w:id="0">
    <w:p w14:paraId="78F0744A" w14:textId="77777777" w:rsidR="00FC20B5" w:rsidRDefault="00FC20B5">
      <w:r>
        <w:continuationSeparator/>
      </w:r>
    </w:p>
  </w:footnote>
  <w:footnote w:id="1">
    <w:p w14:paraId="2B96B53E" w14:textId="77777777" w:rsidR="005A38BC" w:rsidRPr="00A856F7" w:rsidRDefault="005A38BC" w:rsidP="004D3285">
      <w:pPr>
        <w:pStyle w:val="Testonotaapidipagina"/>
        <w:spacing w:after="60"/>
        <w:jc w:val="both"/>
        <w:rPr>
          <w:rStyle w:val="AffiliationCarattere"/>
        </w:rPr>
      </w:pPr>
      <w:r>
        <w:rPr>
          <w:rStyle w:val="Caratteredellanota"/>
        </w:rPr>
        <w:footnoteRef/>
      </w:r>
      <w:r>
        <w:rPr>
          <w:rStyle w:val="AffiliationCarattere"/>
        </w:rPr>
        <w:t xml:space="preserve">  Gennaro Punzo, University of Naples “Parthenope”, Department of Economic and Legal Studies, </w:t>
      </w:r>
      <w:r w:rsidRPr="00A856F7">
        <w:rPr>
          <w:rStyle w:val="AffiliationCarattere"/>
        </w:rPr>
        <w:t xml:space="preserve">email: </w:t>
      </w:r>
      <w:r>
        <w:rPr>
          <w:rStyle w:val="AffiliationCarattere"/>
        </w:rPr>
        <w:t>gennaro.punzo@uniparthenope.it</w:t>
      </w:r>
    </w:p>
    <w:p w14:paraId="4FB3C571" w14:textId="77777777" w:rsidR="005A38BC" w:rsidRPr="002D4CCF" w:rsidRDefault="005A38BC" w:rsidP="004D3285">
      <w:pPr>
        <w:pStyle w:val="Testonotaapidipagina"/>
        <w:spacing w:after="60"/>
        <w:jc w:val="both"/>
        <w:rPr>
          <w:rStyle w:val="AffiliationCarattere"/>
        </w:rPr>
      </w:pPr>
      <w:r w:rsidRPr="002D4CCF">
        <w:rPr>
          <w:rStyle w:val="AffiliationCarattere"/>
        </w:rPr>
        <w:t xml:space="preserve">Mariateresa Ciommi, </w:t>
      </w:r>
      <w:proofErr w:type="spellStart"/>
      <w:r w:rsidRPr="002D4CCF">
        <w:rPr>
          <w:rStyle w:val="AffiliationCarattere"/>
        </w:rPr>
        <w:t>Università</w:t>
      </w:r>
      <w:proofErr w:type="spellEnd"/>
      <w:r w:rsidRPr="002D4CCF">
        <w:rPr>
          <w:rStyle w:val="AffiliationCarattere"/>
        </w:rPr>
        <w:t xml:space="preserve"> </w:t>
      </w:r>
      <w:proofErr w:type="spellStart"/>
      <w:r w:rsidRPr="002D4CCF">
        <w:rPr>
          <w:rStyle w:val="AffiliationCarattere"/>
        </w:rPr>
        <w:t>Politecnica</w:t>
      </w:r>
      <w:proofErr w:type="spellEnd"/>
      <w:r w:rsidRPr="002D4CCF">
        <w:rPr>
          <w:rStyle w:val="AffiliationCarattere"/>
        </w:rPr>
        <w:t xml:space="preserve"> </w:t>
      </w:r>
      <w:proofErr w:type="spellStart"/>
      <w:r w:rsidRPr="002D4CCF">
        <w:rPr>
          <w:rStyle w:val="AffiliationCarattere"/>
        </w:rPr>
        <w:t>delle</w:t>
      </w:r>
      <w:proofErr w:type="spellEnd"/>
      <w:r w:rsidRPr="002D4CCF">
        <w:rPr>
          <w:rStyle w:val="AffiliationCarattere"/>
        </w:rPr>
        <w:t xml:space="preserve"> Marche, </w:t>
      </w:r>
      <w:r>
        <w:rPr>
          <w:rStyle w:val="AffiliationCarattere"/>
        </w:rPr>
        <w:t>Department of Economic and Social Science</w:t>
      </w:r>
      <w:r w:rsidR="005B3105">
        <w:rPr>
          <w:rStyle w:val="AffiliationCarattere"/>
        </w:rPr>
        <w:t>s</w:t>
      </w:r>
      <w:r>
        <w:rPr>
          <w:rStyle w:val="AffiliationCarattere"/>
        </w:rPr>
        <w:t xml:space="preserve">, e-mail: </w:t>
      </w:r>
      <w:hyperlink r:id="rId1" w:history="1">
        <w:r>
          <w:rPr>
            <w:rStyle w:val="AffiliationCarattere"/>
          </w:rPr>
          <w:t>m.ciommi@univpm.it</w:t>
        </w:r>
      </w:hyperlink>
    </w:p>
    <w:p w14:paraId="3EAA698D" w14:textId="77777777" w:rsidR="005A38BC" w:rsidRDefault="005A38BC" w:rsidP="00417C0F">
      <w:pPr>
        <w:pStyle w:val="Testonotaapidipagina"/>
        <w:jc w:val="both"/>
        <w:rPr>
          <w:rStyle w:val="AffiliationCarattere"/>
        </w:rPr>
      </w:pPr>
      <w:r>
        <w:rPr>
          <w:rStyle w:val="AffiliationCarattere"/>
        </w:rPr>
        <w:t xml:space="preserve">Gaetano </w:t>
      </w:r>
      <w:proofErr w:type="spellStart"/>
      <w:r>
        <w:rPr>
          <w:rStyle w:val="AffiliationCarattere"/>
        </w:rPr>
        <w:t>Musella</w:t>
      </w:r>
      <w:proofErr w:type="spellEnd"/>
      <w:r>
        <w:rPr>
          <w:rStyle w:val="AffiliationCarattere"/>
        </w:rPr>
        <w:t>, University of Naples “Parthenope”, Department of Management and Quantitative Studies, email: gaetano.musella@uiparthenope.it</w:t>
      </w:r>
    </w:p>
  </w:footnote>
  <w:footnote w:id="2">
    <w:p w14:paraId="2AA01679" w14:textId="77777777" w:rsidR="005A38BC" w:rsidRPr="00E03135" w:rsidRDefault="005A38BC" w:rsidP="006500E5">
      <w:pPr>
        <w:suppressAutoHyphens w:val="0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 xml:space="preserve">The entire national territories of Bulgaria, Estonia, Latvia, Lithuania, Malta, Poland, Romania and Slovenia were eligible for funding. Instead, a selection of NUTS2 regions was eligible for the following EU countries: </w:t>
      </w:r>
      <w:r w:rsidRPr="00E03135">
        <w:rPr>
          <w:sz w:val="16"/>
          <w:szCs w:val="16"/>
        </w:rPr>
        <w:t>Czech Republic</w:t>
      </w:r>
      <w:r>
        <w:rPr>
          <w:sz w:val="16"/>
          <w:szCs w:val="16"/>
        </w:rPr>
        <w:t xml:space="preserve"> (</w:t>
      </w:r>
      <w:proofErr w:type="spellStart"/>
      <w:r w:rsidRPr="00D3489E">
        <w:rPr>
          <w:sz w:val="16"/>
          <w:szCs w:val="16"/>
        </w:rPr>
        <w:t>Střední</w:t>
      </w:r>
      <w:proofErr w:type="spellEnd"/>
      <w:r w:rsidRPr="00D3489E">
        <w:rPr>
          <w:sz w:val="16"/>
          <w:szCs w:val="16"/>
        </w:rPr>
        <w:t xml:space="preserve"> </w:t>
      </w:r>
      <w:proofErr w:type="spellStart"/>
      <w:r w:rsidRPr="00D3489E">
        <w:rPr>
          <w:sz w:val="16"/>
          <w:szCs w:val="16"/>
        </w:rPr>
        <w:t>Čechy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Jihozápad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Severozápad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Severovýchod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Jihovýchod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Střední</w:t>
      </w:r>
      <w:proofErr w:type="spellEnd"/>
      <w:r w:rsidRPr="00D3489E">
        <w:rPr>
          <w:sz w:val="16"/>
          <w:szCs w:val="16"/>
        </w:rPr>
        <w:t xml:space="preserve"> Morava, </w:t>
      </w:r>
      <w:proofErr w:type="spellStart"/>
      <w:r w:rsidRPr="00D3489E">
        <w:rPr>
          <w:sz w:val="16"/>
          <w:szCs w:val="16"/>
        </w:rPr>
        <w:t>Moravskoslezsko</w:t>
      </w:r>
      <w:proofErr w:type="spellEnd"/>
      <w:r>
        <w:rPr>
          <w:sz w:val="16"/>
          <w:szCs w:val="16"/>
        </w:rPr>
        <w:t xml:space="preserve">); </w:t>
      </w:r>
      <w:r w:rsidRPr="00E03135">
        <w:rPr>
          <w:sz w:val="16"/>
          <w:szCs w:val="16"/>
        </w:rPr>
        <w:t>Germany</w:t>
      </w:r>
      <w:r>
        <w:rPr>
          <w:sz w:val="16"/>
          <w:szCs w:val="16"/>
        </w:rPr>
        <w:t xml:space="preserve"> (</w:t>
      </w:r>
      <w:r w:rsidRPr="00D3489E">
        <w:rPr>
          <w:sz w:val="16"/>
          <w:szCs w:val="16"/>
        </w:rPr>
        <w:t>Brandenburg-</w:t>
      </w:r>
      <w:proofErr w:type="spellStart"/>
      <w:r w:rsidRPr="00D3489E">
        <w:rPr>
          <w:sz w:val="16"/>
          <w:szCs w:val="16"/>
        </w:rPr>
        <w:t>Nordost</w:t>
      </w:r>
      <w:proofErr w:type="spellEnd"/>
      <w:r w:rsidRPr="00D3489E">
        <w:rPr>
          <w:sz w:val="16"/>
          <w:szCs w:val="16"/>
        </w:rPr>
        <w:t>, Mecklenburg-Vorpommern, Chemnitz, Dresden, Dessau, Magdeburg, Thüringen</w:t>
      </w:r>
      <w:r>
        <w:rPr>
          <w:sz w:val="16"/>
          <w:szCs w:val="16"/>
        </w:rPr>
        <w:t xml:space="preserve">); </w:t>
      </w:r>
      <w:r w:rsidRPr="00E03135">
        <w:rPr>
          <w:sz w:val="16"/>
          <w:szCs w:val="16"/>
        </w:rPr>
        <w:t>Greece</w:t>
      </w:r>
      <w:r>
        <w:rPr>
          <w:sz w:val="16"/>
          <w:szCs w:val="16"/>
        </w:rPr>
        <w:t xml:space="preserve"> (</w:t>
      </w:r>
      <w:proofErr w:type="spellStart"/>
      <w:r w:rsidRPr="00D3489E">
        <w:rPr>
          <w:sz w:val="16"/>
          <w:szCs w:val="16"/>
        </w:rPr>
        <w:t>Anatoliki</w:t>
      </w:r>
      <w:proofErr w:type="spellEnd"/>
      <w:r w:rsidRPr="00D3489E">
        <w:rPr>
          <w:sz w:val="16"/>
          <w:szCs w:val="16"/>
        </w:rPr>
        <w:t xml:space="preserve"> Makedonia, </w:t>
      </w:r>
      <w:proofErr w:type="spellStart"/>
      <w:r w:rsidRPr="00D3489E">
        <w:rPr>
          <w:sz w:val="16"/>
          <w:szCs w:val="16"/>
        </w:rPr>
        <w:t>Thraki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Thessalia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Ipeiros</w:t>
      </w:r>
      <w:proofErr w:type="spellEnd"/>
      <w:r w:rsidRPr="00D3489E">
        <w:rPr>
          <w:sz w:val="16"/>
          <w:szCs w:val="16"/>
        </w:rPr>
        <w:t xml:space="preserve">, Ionia </w:t>
      </w:r>
      <w:proofErr w:type="spellStart"/>
      <w:r w:rsidRPr="00D3489E">
        <w:rPr>
          <w:sz w:val="16"/>
          <w:szCs w:val="16"/>
        </w:rPr>
        <w:t>Nisia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Dytiki</w:t>
      </w:r>
      <w:proofErr w:type="spellEnd"/>
      <w:r w:rsidRPr="00D3489E">
        <w:rPr>
          <w:sz w:val="16"/>
          <w:szCs w:val="16"/>
        </w:rPr>
        <w:t xml:space="preserve"> </w:t>
      </w:r>
      <w:proofErr w:type="spellStart"/>
      <w:r w:rsidRPr="00D3489E">
        <w:rPr>
          <w:sz w:val="16"/>
          <w:szCs w:val="16"/>
        </w:rPr>
        <w:t>Ellada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Peloponnisos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Voreio</w:t>
      </w:r>
      <w:proofErr w:type="spellEnd"/>
      <w:r w:rsidRPr="00D3489E">
        <w:rPr>
          <w:sz w:val="16"/>
          <w:szCs w:val="16"/>
        </w:rPr>
        <w:t xml:space="preserve"> </w:t>
      </w:r>
      <w:proofErr w:type="spellStart"/>
      <w:r w:rsidRPr="00D3489E">
        <w:rPr>
          <w:sz w:val="16"/>
          <w:szCs w:val="16"/>
        </w:rPr>
        <w:t>Aigaio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Kriti</w:t>
      </w:r>
      <w:proofErr w:type="spellEnd"/>
      <w:r>
        <w:rPr>
          <w:sz w:val="16"/>
          <w:szCs w:val="16"/>
        </w:rPr>
        <w:t>);</w:t>
      </w:r>
      <w:r w:rsidRPr="00E03135">
        <w:rPr>
          <w:sz w:val="16"/>
          <w:szCs w:val="16"/>
        </w:rPr>
        <w:t xml:space="preserve"> </w:t>
      </w:r>
      <w:r w:rsidRPr="005B1D70">
        <w:rPr>
          <w:sz w:val="16"/>
          <w:szCs w:val="16"/>
        </w:rPr>
        <w:t xml:space="preserve">Spain (Andalucía, </w:t>
      </w:r>
      <w:proofErr w:type="spellStart"/>
      <w:r w:rsidRPr="005B1D70">
        <w:rPr>
          <w:sz w:val="16"/>
          <w:szCs w:val="16"/>
        </w:rPr>
        <w:t>Castilla</w:t>
      </w:r>
      <w:proofErr w:type="spellEnd"/>
      <w:r w:rsidRPr="005B1D70">
        <w:rPr>
          <w:sz w:val="16"/>
          <w:szCs w:val="16"/>
        </w:rPr>
        <w:t xml:space="preserve">-La Mancha, Extremadura, Galicia); France (Guadeloupe, </w:t>
      </w:r>
      <w:proofErr w:type="spellStart"/>
      <w:r w:rsidRPr="005B1D70">
        <w:rPr>
          <w:sz w:val="16"/>
          <w:szCs w:val="16"/>
        </w:rPr>
        <w:t>Guyane</w:t>
      </w:r>
      <w:proofErr w:type="spellEnd"/>
      <w:r w:rsidRPr="005B1D70">
        <w:rPr>
          <w:sz w:val="16"/>
          <w:szCs w:val="16"/>
        </w:rPr>
        <w:t xml:space="preserve">, Martinique, </w:t>
      </w:r>
      <w:proofErr w:type="spellStart"/>
      <w:r w:rsidRPr="005B1D70">
        <w:rPr>
          <w:sz w:val="16"/>
          <w:szCs w:val="16"/>
        </w:rPr>
        <w:t>Réunion</w:t>
      </w:r>
      <w:proofErr w:type="spellEnd"/>
      <w:r>
        <w:rPr>
          <w:sz w:val="16"/>
          <w:szCs w:val="16"/>
        </w:rPr>
        <w:t>);</w:t>
      </w:r>
      <w:r w:rsidRPr="005B1D70">
        <w:rPr>
          <w:sz w:val="16"/>
          <w:szCs w:val="16"/>
        </w:rPr>
        <w:t xml:space="preserve"> Hungary: </w:t>
      </w:r>
      <w:proofErr w:type="spellStart"/>
      <w:r w:rsidRPr="005B1D70">
        <w:rPr>
          <w:sz w:val="16"/>
          <w:szCs w:val="16"/>
        </w:rPr>
        <w:t>Közép-Dunántúl</w:t>
      </w:r>
      <w:proofErr w:type="spellEnd"/>
      <w:r w:rsidRPr="005B1D70">
        <w:rPr>
          <w:sz w:val="16"/>
          <w:szCs w:val="16"/>
        </w:rPr>
        <w:t xml:space="preserve">, </w:t>
      </w:r>
      <w:proofErr w:type="spellStart"/>
      <w:r w:rsidRPr="005B1D70">
        <w:rPr>
          <w:sz w:val="16"/>
          <w:szCs w:val="16"/>
        </w:rPr>
        <w:t>Nyugat-Dunántúl</w:t>
      </w:r>
      <w:proofErr w:type="spellEnd"/>
      <w:r w:rsidRPr="005B1D70">
        <w:rPr>
          <w:sz w:val="16"/>
          <w:szCs w:val="16"/>
        </w:rPr>
        <w:t xml:space="preserve">, </w:t>
      </w:r>
      <w:proofErr w:type="spellStart"/>
      <w:r w:rsidRPr="005B1D70">
        <w:rPr>
          <w:sz w:val="16"/>
          <w:szCs w:val="16"/>
        </w:rPr>
        <w:t>Dél-Dunántúl</w:t>
      </w:r>
      <w:proofErr w:type="spellEnd"/>
      <w:r w:rsidRPr="005B1D70">
        <w:rPr>
          <w:sz w:val="16"/>
          <w:szCs w:val="16"/>
        </w:rPr>
        <w:t xml:space="preserve">, </w:t>
      </w:r>
      <w:proofErr w:type="spellStart"/>
      <w:r w:rsidRPr="005B1D70">
        <w:rPr>
          <w:sz w:val="16"/>
          <w:szCs w:val="16"/>
        </w:rPr>
        <w:t>Észak-Magyarország</w:t>
      </w:r>
      <w:proofErr w:type="spellEnd"/>
      <w:r w:rsidRPr="005B1D70">
        <w:rPr>
          <w:sz w:val="16"/>
          <w:szCs w:val="16"/>
        </w:rPr>
        <w:t xml:space="preserve">, </w:t>
      </w:r>
      <w:proofErr w:type="spellStart"/>
      <w:r w:rsidRPr="005B1D70">
        <w:rPr>
          <w:sz w:val="16"/>
          <w:szCs w:val="16"/>
        </w:rPr>
        <w:t>Észak-Alföld</w:t>
      </w:r>
      <w:proofErr w:type="spellEnd"/>
      <w:r w:rsidRPr="005B1D70">
        <w:rPr>
          <w:sz w:val="16"/>
          <w:szCs w:val="16"/>
        </w:rPr>
        <w:t xml:space="preserve">, </w:t>
      </w:r>
      <w:proofErr w:type="spellStart"/>
      <w:r w:rsidRPr="005B1D70">
        <w:rPr>
          <w:sz w:val="16"/>
          <w:szCs w:val="16"/>
        </w:rPr>
        <w:t>Dél-Alföld</w:t>
      </w:r>
      <w:proofErr w:type="spellEnd"/>
      <w:r w:rsidRPr="005B1D70">
        <w:rPr>
          <w:sz w:val="16"/>
          <w:szCs w:val="16"/>
        </w:rPr>
        <w:t>)</w:t>
      </w:r>
      <w:r>
        <w:rPr>
          <w:sz w:val="16"/>
          <w:szCs w:val="16"/>
        </w:rPr>
        <w:t>;</w:t>
      </w:r>
      <w:r w:rsidRPr="005B1D70">
        <w:rPr>
          <w:sz w:val="16"/>
          <w:szCs w:val="16"/>
        </w:rPr>
        <w:t xml:space="preserve"> Italy (Calabria, Campania, Puglia, Sicilia); Portugal (</w:t>
      </w:r>
      <w:proofErr w:type="spellStart"/>
      <w:r w:rsidRPr="005B1D70">
        <w:rPr>
          <w:sz w:val="16"/>
          <w:szCs w:val="16"/>
        </w:rPr>
        <w:t>Norte</w:t>
      </w:r>
      <w:proofErr w:type="spellEnd"/>
      <w:r w:rsidRPr="005B1D70">
        <w:rPr>
          <w:sz w:val="16"/>
          <w:szCs w:val="16"/>
        </w:rPr>
        <w:t xml:space="preserve">, Centro, </w:t>
      </w:r>
      <w:proofErr w:type="spellStart"/>
      <w:r w:rsidRPr="005B1D70">
        <w:rPr>
          <w:sz w:val="16"/>
          <w:szCs w:val="16"/>
        </w:rPr>
        <w:t>Alentejo</w:t>
      </w:r>
      <w:proofErr w:type="spellEnd"/>
      <w:r w:rsidRPr="005B1D70">
        <w:rPr>
          <w:sz w:val="16"/>
          <w:szCs w:val="16"/>
        </w:rPr>
        <w:t xml:space="preserve">, </w:t>
      </w:r>
      <w:proofErr w:type="spellStart"/>
      <w:r w:rsidRPr="005B1D70">
        <w:rPr>
          <w:sz w:val="16"/>
          <w:szCs w:val="16"/>
        </w:rPr>
        <w:t>Região</w:t>
      </w:r>
      <w:proofErr w:type="spellEnd"/>
      <w:r w:rsidRPr="005B1D70">
        <w:rPr>
          <w:sz w:val="16"/>
          <w:szCs w:val="16"/>
        </w:rPr>
        <w:t xml:space="preserve"> </w:t>
      </w:r>
      <w:proofErr w:type="spellStart"/>
      <w:r w:rsidRPr="005B1D70">
        <w:rPr>
          <w:sz w:val="16"/>
          <w:szCs w:val="16"/>
        </w:rPr>
        <w:t>Autónoma</w:t>
      </w:r>
      <w:proofErr w:type="spellEnd"/>
      <w:r w:rsidRPr="005B1D70">
        <w:rPr>
          <w:sz w:val="16"/>
          <w:szCs w:val="16"/>
        </w:rPr>
        <w:t xml:space="preserve"> dos </w:t>
      </w:r>
      <w:proofErr w:type="spellStart"/>
      <w:r w:rsidRPr="005B1D70">
        <w:rPr>
          <w:sz w:val="16"/>
          <w:szCs w:val="16"/>
        </w:rPr>
        <w:t>Açores</w:t>
      </w:r>
      <w:proofErr w:type="spellEnd"/>
      <w:r w:rsidRPr="005B1D70">
        <w:rPr>
          <w:sz w:val="16"/>
          <w:szCs w:val="16"/>
        </w:rPr>
        <w:t xml:space="preserve">); </w:t>
      </w:r>
      <w:r w:rsidRPr="00E03135">
        <w:rPr>
          <w:sz w:val="16"/>
          <w:szCs w:val="16"/>
        </w:rPr>
        <w:t>Slovakia</w:t>
      </w:r>
      <w:r>
        <w:rPr>
          <w:sz w:val="16"/>
          <w:szCs w:val="16"/>
        </w:rPr>
        <w:t xml:space="preserve"> (</w:t>
      </w:r>
      <w:proofErr w:type="spellStart"/>
      <w:r w:rsidRPr="00D3489E">
        <w:rPr>
          <w:sz w:val="16"/>
          <w:szCs w:val="16"/>
        </w:rPr>
        <w:t>Západné</w:t>
      </w:r>
      <w:proofErr w:type="spellEnd"/>
      <w:r w:rsidRPr="00D3489E">
        <w:rPr>
          <w:sz w:val="16"/>
          <w:szCs w:val="16"/>
        </w:rPr>
        <w:t xml:space="preserve"> </w:t>
      </w:r>
      <w:proofErr w:type="spellStart"/>
      <w:r w:rsidRPr="00D3489E">
        <w:rPr>
          <w:sz w:val="16"/>
          <w:szCs w:val="16"/>
        </w:rPr>
        <w:t>Slovensko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Stredné</w:t>
      </w:r>
      <w:proofErr w:type="spellEnd"/>
      <w:r w:rsidRPr="00D3489E">
        <w:rPr>
          <w:sz w:val="16"/>
          <w:szCs w:val="16"/>
        </w:rPr>
        <w:t xml:space="preserve"> </w:t>
      </w:r>
      <w:proofErr w:type="spellStart"/>
      <w:r w:rsidRPr="00D3489E">
        <w:rPr>
          <w:sz w:val="16"/>
          <w:szCs w:val="16"/>
        </w:rPr>
        <w:t>Slovensko</w:t>
      </w:r>
      <w:proofErr w:type="spellEnd"/>
      <w:r w:rsidRPr="00D3489E">
        <w:rPr>
          <w:sz w:val="16"/>
          <w:szCs w:val="16"/>
        </w:rPr>
        <w:t xml:space="preserve">, </w:t>
      </w:r>
      <w:proofErr w:type="spellStart"/>
      <w:r w:rsidRPr="00D3489E">
        <w:rPr>
          <w:sz w:val="16"/>
          <w:szCs w:val="16"/>
        </w:rPr>
        <w:t>Východné</w:t>
      </w:r>
      <w:proofErr w:type="spellEnd"/>
      <w:r w:rsidRPr="00D3489E">
        <w:rPr>
          <w:sz w:val="16"/>
          <w:szCs w:val="16"/>
        </w:rPr>
        <w:t xml:space="preserve"> </w:t>
      </w:r>
      <w:proofErr w:type="spellStart"/>
      <w:r w:rsidRPr="00D3489E">
        <w:rPr>
          <w:sz w:val="16"/>
          <w:szCs w:val="16"/>
        </w:rPr>
        <w:t>Slovensko</w:t>
      </w:r>
      <w:proofErr w:type="spellEnd"/>
      <w:r>
        <w:rPr>
          <w:sz w:val="16"/>
          <w:szCs w:val="16"/>
        </w:rPr>
        <w:t xml:space="preserve">); the </w:t>
      </w:r>
      <w:r w:rsidRPr="00E03135">
        <w:rPr>
          <w:sz w:val="16"/>
          <w:szCs w:val="16"/>
        </w:rPr>
        <w:t>United Kingdom</w:t>
      </w:r>
      <w:r>
        <w:rPr>
          <w:sz w:val="16"/>
          <w:szCs w:val="16"/>
        </w:rPr>
        <w:t xml:space="preserve"> (</w:t>
      </w:r>
      <w:r w:rsidRPr="00D3489E">
        <w:rPr>
          <w:sz w:val="16"/>
          <w:szCs w:val="16"/>
        </w:rPr>
        <w:t>Cornwall and Isles of Scilly, West Wales and the Valleys</w:t>
      </w:r>
      <w:r>
        <w:rPr>
          <w:sz w:val="16"/>
          <w:szCs w:val="16"/>
        </w:rPr>
        <w:t>)</w:t>
      </w:r>
      <w:r w:rsidRPr="00E03135">
        <w:rPr>
          <w:sz w:val="16"/>
          <w:szCs w:val="16"/>
        </w:rPr>
        <w:t>.</w:t>
      </w:r>
    </w:p>
  </w:footnote>
  <w:footnote w:id="3">
    <w:p w14:paraId="5A8AE809" w14:textId="77777777" w:rsidR="005A38BC" w:rsidRPr="007B20D3" w:rsidRDefault="005A38BC" w:rsidP="006500E5">
      <w:pPr>
        <w:suppressAutoHyphens w:val="0"/>
        <w:contextualSpacing/>
        <w:jc w:val="both"/>
      </w:pPr>
      <w:r>
        <w:rPr>
          <w:rStyle w:val="Rimandonotaapidipagina"/>
        </w:rPr>
        <w:footnoteRef/>
      </w:r>
      <w:r>
        <w:t xml:space="preserve"> </w:t>
      </w:r>
      <w:r w:rsidRPr="007B20D3">
        <w:rPr>
          <w:sz w:val="16"/>
          <w:szCs w:val="16"/>
        </w:rPr>
        <w:t>Belgium</w:t>
      </w:r>
      <w:r>
        <w:rPr>
          <w:sz w:val="16"/>
          <w:szCs w:val="16"/>
        </w:rPr>
        <w:t xml:space="preserve"> (</w:t>
      </w:r>
      <w:r w:rsidRPr="00314BCC">
        <w:rPr>
          <w:sz w:val="16"/>
          <w:szCs w:val="16"/>
        </w:rPr>
        <w:t>Province du Hainaut</w:t>
      </w:r>
      <w:r>
        <w:rPr>
          <w:sz w:val="16"/>
          <w:szCs w:val="16"/>
        </w:rPr>
        <w:t xml:space="preserve">); </w:t>
      </w:r>
      <w:r w:rsidRPr="007B20D3">
        <w:rPr>
          <w:sz w:val="16"/>
          <w:szCs w:val="16"/>
        </w:rPr>
        <w:t>Germany</w:t>
      </w:r>
      <w:r>
        <w:rPr>
          <w:sz w:val="16"/>
          <w:szCs w:val="16"/>
        </w:rPr>
        <w:t xml:space="preserve"> (</w:t>
      </w:r>
      <w:r w:rsidRPr="00314BCC">
        <w:rPr>
          <w:sz w:val="16"/>
          <w:szCs w:val="16"/>
        </w:rPr>
        <w:t>Brandenburg-</w:t>
      </w:r>
      <w:proofErr w:type="spellStart"/>
      <w:r w:rsidRPr="00314BCC">
        <w:rPr>
          <w:sz w:val="16"/>
          <w:szCs w:val="16"/>
        </w:rPr>
        <w:t>Südwest</w:t>
      </w:r>
      <w:proofErr w:type="spellEnd"/>
      <w:r w:rsidRPr="00314BCC">
        <w:rPr>
          <w:sz w:val="16"/>
          <w:szCs w:val="16"/>
        </w:rPr>
        <w:t xml:space="preserve">, </w:t>
      </w:r>
      <w:proofErr w:type="spellStart"/>
      <w:r w:rsidRPr="00314BCC">
        <w:rPr>
          <w:sz w:val="16"/>
          <w:szCs w:val="16"/>
        </w:rPr>
        <w:t>Lüneburg</w:t>
      </w:r>
      <w:proofErr w:type="spellEnd"/>
      <w:r w:rsidRPr="00314BCC">
        <w:rPr>
          <w:sz w:val="16"/>
          <w:szCs w:val="16"/>
        </w:rPr>
        <w:t>, Leipzig, Halle</w:t>
      </w:r>
      <w:r>
        <w:rPr>
          <w:sz w:val="16"/>
          <w:szCs w:val="16"/>
        </w:rPr>
        <w:t xml:space="preserve">); </w:t>
      </w:r>
      <w:r w:rsidRPr="005B1D70">
        <w:rPr>
          <w:sz w:val="16"/>
          <w:szCs w:val="16"/>
        </w:rPr>
        <w:t>Greece (</w:t>
      </w:r>
      <w:proofErr w:type="spellStart"/>
      <w:r w:rsidRPr="005B1D70">
        <w:rPr>
          <w:sz w:val="16"/>
          <w:szCs w:val="16"/>
        </w:rPr>
        <w:t>Kentriki</w:t>
      </w:r>
      <w:proofErr w:type="spellEnd"/>
      <w:r w:rsidRPr="005B1D70">
        <w:rPr>
          <w:sz w:val="16"/>
          <w:szCs w:val="16"/>
        </w:rPr>
        <w:t xml:space="preserve"> Makedonia, </w:t>
      </w:r>
      <w:proofErr w:type="spellStart"/>
      <w:r w:rsidRPr="005B1D70">
        <w:rPr>
          <w:sz w:val="16"/>
          <w:szCs w:val="16"/>
        </w:rPr>
        <w:t>Dytiki</w:t>
      </w:r>
      <w:proofErr w:type="spellEnd"/>
      <w:r w:rsidRPr="005B1D70">
        <w:rPr>
          <w:sz w:val="16"/>
          <w:szCs w:val="16"/>
        </w:rPr>
        <w:t xml:space="preserve"> Makedonia, </w:t>
      </w:r>
      <w:proofErr w:type="spellStart"/>
      <w:r w:rsidRPr="005B1D70">
        <w:rPr>
          <w:sz w:val="16"/>
          <w:szCs w:val="16"/>
        </w:rPr>
        <w:t>Attiki</w:t>
      </w:r>
      <w:proofErr w:type="spellEnd"/>
      <w:r w:rsidRPr="005B1D70">
        <w:rPr>
          <w:sz w:val="16"/>
          <w:szCs w:val="16"/>
        </w:rPr>
        <w:t xml:space="preserve">); Spain (Ciudad </w:t>
      </w:r>
      <w:proofErr w:type="spellStart"/>
      <w:r w:rsidRPr="005B1D70">
        <w:rPr>
          <w:sz w:val="16"/>
          <w:szCs w:val="16"/>
        </w:rPr>
        <w:t>Autónoma</w:t>
      </w:r>
      <w:proofErr w:type="spellEnd"/>
      <w:r w:rsidRPr="005B1D70">
        <w:rPr>
          <w:sz w:val="16"/>
          <w:szCs w:val="16"/>
        </w:rPr>
        <w:t xml:space="preserve"> de Ceuta, Ciudad </w:t>
      </w:r>
      <w:proofErr w:type="spellStart"/>
      <w:r w:rsidRPr="005B1D70">
        <w:rPr>
          <w:sz w:val="16"/>
          <w:szCs w:val="16"/>
        </w:rPr>
        <w:t>Autónoma</w:t>
      </w:r>
      <w:proofErr w:type="spellEnd"/>
      <w:r w:rsidRPr="005B1D70">
        <w:rPr>
          <w:sz w:val="16"/>
          <w:szCs w:val="16"/>
        </w:rPr>
        <w:t xml:space="preserve"> de Melilla, </w:t>
      </w:r>
      <w:proofErr w:type="spellStart"/>
      <w:r w:rsidRPr="005B1D70">
        <w:rPr>
          <w:sz w:val="16"/>
          <w:szCs w:val="16"/>
        </w:rPr>
        <w:t>Principado</w:t>
      </w:r>
      <w:proofErr w:type="spellEnd"/>
      <w:r w:rsidRPr="005B1D70">
        <w:rPr>
          <w:sz w:val="16"/>
          <w:szCs w:val="16"/>
        </w:rPr>
        <w:t xml:space="preserve"> de Asturias, </w:t>
      </w:r>
      <w:proofErr w:type="spellStart"/>
      <w:r w:rsidRPr="005B1D70">
        <w:rPr>
          <w:sz w:val="16"/>
          <w:szCs w:val="16"/>
        </w:rPr>
        <w:t>Región</w:t>
      </w:r>
      <w:proofErr w:type="spellEnd"/>
      <w:r w:rsidRPr="005B1D70">
        <w:rPr>
          <w:sz w:val="16"/>
          <w:szCs w:val="16"/>
        </w:rPr>
        <w:t xml:space="preserve"> de Murcia); </w:t>
      </w:r>
      <w:r>
        <w:rPr>
          <w:sz w:val="16"/>
          <w:szCs w:val="16"/>
        </w:rPr>
        <w:t>A</w:t>
      </w:r>
      <w:r w:rsidRPr="007B20D3">
        <w:rPr>
          <w:sz w:val="16"/>
          <w:szCs w:val="16"/>
        </w:rPr>
        <w:t>ustria</w:t>
      </w:r>
      <w:r>
        <w:rPr>
          <w:sz w:val="16"/>
          <w:szCs w:val="16"/>
        </w:rPr>
        <w:t xml:space="preserve"> (</w:t>
      </w:r>
      <w:r w:rsidRPr="00314BCC">
        <w:rPr>
          <w:sz w:val="16"/>
          <w:szCs w:val="16"/>
        </w:rPr>
        <w:t>Burgenland</w:t>
      </w:r>
      <w:r>
        <w:rPr>
          <w:sz w:val="16"/>
          <w:szCs w:val="16"/>
        </w:rPr>
        <w:t>); P</w:t>
      </w:r>
      <w:r w:rsidRPr="007B20D3">
        <w:rPr>
          <w:sz w:val="16"/>
          <w:szCs w:val="16"/>
        </w:rPr>
        <w:t>ortugal</w:t>
      </w:r>
      <w:r>
        <w:rPr>
          <w:sz w:val="16"/>
          <w:szCs w:val="16"/>
        </w:rPr>
        <w:t xml:space="preserve"> (</w:t>
      </w:r>
      <w:r w:rsidRPr="00314BCC">
        <w:rPr>
          <w:sz w:val="16"/>
          <w:szCs w:val="16"/>
        </w:rPr>
        <w:t>Algarve</w:t>
      </w:r>
      <w:r>
        <w:rPr>
          <w:sz w:val="16"/>
          <w:szCs w:val="16"/>
        </w:rPr>
        <w:t xml:space="preserve">). </w:t>
      </w:r>
      <w:proofErr w:type="gramStart"/>
      <w:r w:rsidRPr="007B20D3">
        <w:rPr>
          <w:sz w:val="16"/>
          <w:szCs w:val="16"/>
        </w:rPr>
        <w:t>Italy</w:t>
      </w:r>
      <w:r>
        <w:rPr>
          <w:sz w:val="16"/>
          <w:szCs w:val="16"/>
        </w:rPr>
        <w:t xml:space="preserve"> </w:t>
      </w:r>
      <w:r w:rsidRPr="00314BCC">
        <w:rPr>
          <w:sz w:val="16"/>
          <w:szCs w:val="16"/>
        </w:rPr>
        <w:t>Basilicata</w:t>
      </w:r>
      <w:r>
        <w:rPr>
          <w:sz w:val="16"/>
          <w:szCs w:val="16"/>
        </w:rPr>
        <w:t>; t</w:t>
      </w:r>
      <w:r w:rsidRPr="007B20D3">
        <w:rPr>
          <w:sz w:val="16"/>
          <w:szCs w:val="16"/>
        </w:rPr>
        <w:t>he United Kingdom</w:t>
      </w:r>
      <w:r>
        <w:rPr>
          <w:sz w:val="16"/>
          <w:szCs w:val="16"/>
        </w:rPr>
        <w:t xml:space="preserve"> (</w:t>
      </w:r>
      <w:r w:rsidRPr="00314BCC">
        <w:rPr>
          <w:sz w:val="16"/>
          <w:szCs w:val="16"/>
        </w:rPr>
        <w:t>Highlands and Islands</w:t>
      </w:r>
      <w:r>
        <w:rPr>
          <w:sz w:val="16"/>
          <w:szCs w:val="16"/>
        </w:rPr>
        <w:t>).</w:t>
      </w:r>
      <w:proofErr w:type="gramEnd"/>
    </w:p>
  </w:footnote>
  <w:footnote w:id="4">
    <w:p w14:paraId="1DF4976F" w14:textId="77777777" w:rsidR="005A38BC" w:rsidRPr="00161379" w:rsidRDefault="005A38BC" w:rsidP="00927E13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 w:rsidRPr="00161379">
        <w:t xml:space="preserve"> </w:t>
      </w:r>
      <w:proofErr w:type="spellStart"/>
      <w:proofErr w:type="gramStart"/>
      <w:r w:rsidRPr="00161379">
        <w:rPr>
          <w:sz w:val="16"/>
          <w:szCs w:val="16"/>
        </w:rPr>
        <w:t>Società</w:t>
      </w:r>
      <w:proofErr w:type="spellEnd"/>
      <w:r w:rsidRPr="00161379">
        <w:rPr>
          <w:sz w:val="16"/>
          <w:szCs w:val="16"/>
        </w:rPr>
        <w:t xml:space="preserve"> </w:t>
      </w:r>
      <w:proofErr w:type="spellStart"/>
      <w:r w:rsidRPr="00161379">
        <w:rPr>
          <w:sz w:val="16"/>
          <w:szCs w:val="16"/>
        </w:rPr>
        <w:t>Italiana</w:t>
      </w:r>
      <w:proofErr w:type="spellEnd"/>
      <w:r w:rsidRPr="00161379">
        <w:rPr>
          <w:sz w:val="16"/>
          <w:szCs w:val="16"/>
        </w:rPr>
        <w:t xml:space="preserve"> di </w:t>
      </w:r>
      <w:proofErr w:type="spellStart"/>
      <w:r w:rsidRPr="00161379">
        <w:rPr>
          <w:sz w:val="16"/>
          <w:szCs w:val="16"/>
        </w:rPr>
        <w:t>Economia</w:t>
      </w:r>
      <w:proofErr w:type="spellEnd"/>
      <w:r w:rsidRPr="00161379">
        <w:rPr>
          <w:sz w:val="16"/>
          <w:szCs w:val="16"/>
        </w:rPr>
        <w:t xml:space="preserve"> e </w:t>
      </w:r>
      <w:proofErr w:type="spellStart"/>
      <w:r w:rsidRPr="00161379">
        <w:rPr>
          <w:sz w:val="16"/>
          <w:szCs w:val="16"/>
        </w:rPr>
        <w:t>Politica</w:t>
      </w:r>
      <w:proofErr w:type="spellEnd"/>
      <w:r w:rsidRPr="00161379">
        <w:rPr>
          <w:sz w:val="16"/>
          <w:szCs w:val="16"/>
        </w:rPr>
        <w:t xml:space="preserve"> </w:t>
      </w:r>
      <w:proofErr w:type="spellStart"/>
      <w:r w:rsidRPr="00161379">
        <w:rPr>
          <w:sz w:val="16"/>
          <w:szCs w:val="16"/>
        </w:rPr>
        <w:t>Industriale</w:t>
      </w:r>
      <w:proofErr w:type="spellEnd"/>
      <w:r w:rsidRPr="00161379">
        <w:rPr>
          <w:sz w:val="16"/>
          <w:szCs w:val="16"/>
        </w:rPr>
        <w:t>.</w:t>
      </w:r>
      <w:proofErr w:type="gramEnd"/>
    </w:p>
  </w:footnote>
  <w:footnote w:id="5">
    <w:p w14:paraId="4B6241F5" w14:textId="77777777" w:rsidR="005A38BC" w:rsidRPr="007B29A4" w:rsidRDefault="005A38BC" w:rsidP="00D1410F">
      <w:pPr>
        <w:pStyle w:val="Testonotaapidipagina"/>
        <w:jc w:val="both"/>
      </w:pPr>
      <w:r w:rsidRPr="00D1410F">
        <w:rPr>
          <w:rStyle w:val="Rimandonotaapidipagina"/>
        </w:rPr>
        <w:footnoteRef/>
      </w:r>
      <w:r w:rsidRPr="00D1410F">
        <w:t xml:space="preserve"> </w:t>
      </w:r>
      <w:r w:rsidR="00FA67E5">
        <w:rPr>
          <w:sz w:val="16"/>
          <w:szCs w:val="16"/>
        </w:rPr>
        <w:t xml:space="preserve">We exclude </w:t>
      </w:r>
      <w:r w:rsidRPr="00D1410F">
        <w:rPr>
          <w:sz w:val="16"/>
          <w:szCs w:val="16"/>
        </w:rPr>
        <w:t xml:space="preserve">France </w:t>
      </w:r>
      <w:r>
        <w:rPr>
          <w:sz w:val="16"/>
          <w:szCs w:val="16"/>
        </w:rPr>
        <w:t xml:space="preserve">and </w:t>
      </w:r>
      <w:r w:rsidRPr="00D1410F">
        <w:rPr>
          <w:sz w:val="16"/>
          <w:szCs w:val="16"/>
        </w:rPr>
        <w:t xml:space="preserve">Greece </w:t>
      </w:r>
      <w:r w:rsidR="00FA67E5">
        <w:rPr>
          <w:sz w:val="16"/>
          <w:szCs w:val="16"/>
        </w:rPr>
        <w:t>from the analysis for reasons of data availability</w:t>
      </w:r>
      <w:r>
        <w:rPr>
          <w:sz w:val="16"/>
          <w:szCs w:val="16"/>
        </w:rPr>
        <w:t>.</w:t>
      </w:r>
    </w:p>
  </w:footnote>
  <w:footnote w:id="6">
    <w:p w14:paraId="13893C88" w14:textId="77777777" w:rsidR="005A38BC" w:rsidRPr="008F2197" w:rsidRDefault="005A38BC" w:rsidP="008F2197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F2197">
        <w:rPr>
          <w:rStyle w:val="Rimandonotaapidipagina"/>
          <w:sz w:val="16"/>
          <w:szCs w:val="16"/>
        </w:rPr>
        <w:footnoteRef/>
      </w:r>
      <w:r w:rsidRPr="008F2197">
        <w:rPr>
          <w:sz w:val="16"/>
          <w:szCs w:val="16"/>
        </w:rPr>
        <w:t xml:space="preserve"> </w:t>
      </w:r>
      <w:r>
        <w:rPr>
          <w:sz w:val="16"/>
          <w:szCs w:val="16"/>
        </w:rPr>
        <w:t>This is a quite remarkab</w:t>
      </w:r>
      <w:r w:rsidR="004F34AC">
        <w:rPr>
          <w:sz w:val="16"/>
          <w:szCs w:val="16"/>
        </w:rPr>
        <w:t>le when one considers that the economic recession</w:t>
      </w:r>
      <w:r>
        <w:rPr>
          <w:sz w:val="16"/>
          <w:szCs w:val="16"/>
        </w:rPr>
        <w:t xml:space="preserve"> </w:t>
      </w:r>
      <w:r w:rsidRPr="008F2197">
        <w:rPr>
          <w:sz w:val="16"/>
          <w:szCs w:val="16"/>
        </w:rPr>
        <w:t>reached its highest intensity before the end of 2009 in most E</w:t>
      </w:r>
      <w:r>
        <w:rPr>
          <w:sz w:val="16"/>
          <w:szCs w:val="16"/>
        </w:rPr>
        <w:t xml:space="preserve">U </w:t>
      </w:r>
      <w:r w:rsidRPr="008F2197">
        <w:rPr>
          <w:sz w:val="16"/>
          <w:szCs w:val="16"/>
        </w:rPr>
        <w:t>countries</w:t>
      </w:r>
      <w:r>
        <w:rPr>
          <w:sz w:val="16"/>
          <w:szCs w:val="16"/>
        </w:rPr>
        <w:t xml:space="preserve"> in the middle of the 2007-2013 programming cycle and that  the</w:t>
      </w:r>
      <w:r w:rsidR="00093003">
        <w:rPr>
          <w:sz w:val="16"/>
          <w:szCs w:val="16"/>
        </w:rPr>
        <w:t>se</w:t>
      </w:r>
      <w:r>
        <w:rPr>
          <w:sz w:val="16"/>
          <w:szCs w:val="16"/>
        </w:rPr>
        <w:t xml:space="preserve"> EU fund</w:t>
      </w:r>
      <w:r w:rsidR="00093003">
        <w:rPr>
          <w:sz w:val="16"/>
          <w:szCs w:val="16"/>
        </w:rPr>
        <w:t xml:space="preserve">s were </w:t>
      </w:r>
      <w:r>
        <w:rPr>
          <w:sz w:val="16"/>
          <w:szCs w:val="16"/>
        </w:rPr>
        <w:t>not designed to offset the adverse effects of the crisis</w:t>
      </w:r>
      <w:r w:rsidRPr="008F2197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Therefore, although </w:t>
      </w:r>
      <w:r w:rsidRPr="008F2197">
        <w:rPr>
          <w:sz w:val="16"/>
          <w:szCs w:val="16"/>
        </w:rPr>
        <w:t>some Member States have been more vulnerable than others</w:t>
      </w:r>
      <w:r>
        <w:rPr>
          <w:sz w:val="16"/>
          <w:szCs w:val="16"/>
        </w:rPr>
        <w:t xml:space="preserve"> (i.e., the countries of southern Europe)</w:t>
      </w:r>
      <w:r w:rsidRPr="008F2197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the parallel-trend test claims that the averages of employment rates of the treated regions would follow the same trend of those of the control regions even during the years of the </w:t>
      </w:r>
      <w:r w:rsidRPr="008F2197">
        <w:rPr>
          <w:sz w:val="16"/>
          <w:szCs w:val="16"/>
        </w:rPr>
        <w:t>crisis</w:t>
      </w:r>
      <w:r>
        <w:rPr>
          <w:sz w:val="16"/>
          <w:szCs w:val="16"/>
        </w:rPr>
        <w:t>. Probably, the crisis</w:t>
      </w:r>
      <w:r w:rsidRPr="008F2197">
        <w:rPr>
          <w:sz w:val="16"/>
          <w:szCs w:val="16"/>
        </w:rPr>
        <w:t xml:space="preserve"> has had a </w:t>
      </w:r>
      <w:r>
        <w:rPr>
          <w:sz w:val="16"/>
          <w:szCs w:val="16"/>
        </w:rPr>
        <w:t xml:space="preserve">quite </w:t>
      </w:r>
      <w:r w:rsidRPr="008F2197">
        <w:rPr>
          <w:sz w:val="16"/>
          <w:szCs w:val="16"/>
        </w:rPr>
        <w:t xml:space="preserve">pervasive impact on </w:t>
      </w:r>
      <w:r>
        <w:rPr>
          <w:sz w:val="16"/>
          <w:szCs w:val="16"/>
        </w:rPr>
        <w:t>employment levels within each country without significant differences in the averages of employment rates between the less- and more-developed regions.</w:t>
      </w:r>
      <w:r w:rsidRPr="008F2197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8A1A8" w14:textId="77777777" w:rsidR="005A38BC" w:rsidRPr="008E79A9" w:rsidRDefault="005A38BC">
    <w:pPr>
      <w:pStyle w:val="Intestazione"/>
      <w:tabs>
        <w:tab w:val="clear" w:pos="4819"/>
        <w:tab w:val="center" w:pos="5103"/>
      </w:tabs>
      <w:spacing w:before="1200"/>
      <w:rPr>
        <w:rStyle w:val="Numeropagina"/>
        <w:sz w:val="16"/>
        <w:lang w:val="it-IT"/>
      </w:rPr>
    </w:pPr>
    <w:r>
      <w:rPr>
        <w:rStyle w:val="Numeropagina"/>
        <w:sz w:val="16"/>
        <w:lang w:val="it-IT"/>
      </w:rPr>
      <w:t xml:space="preserve"> </w:t>
    </w:r>
    <w:r w:rsidRPr="008E79A9">
      <w:rPr>
        <w:rStyle w:val="Numeropagina"/>
        <w:sz w:val="16"/>
        <w:lang w:val="it-IT"/>
      </w:rPr>
      <w:tab/>
    </w:r>
    <w:r>
      <w:rPr>
        <w:rStyle w:val="Numeropagina"/>
        <w:sz w:val="16"/>
        <w:lang w:val="it-IT"/>
      </w:rPr>
      <w:t xml:space="preserve">Gennaro Punzo, </w:t>
    </w:r>
    <w:r w:rsidRPr="008E79A9">
      <w:rPr>
        <w:rStyle w:val="Numeropagina"/>
        <w:sz w:val="16"/>
        <w:lang w:val="it-IT"/>
      </w:rPr>
      <w:t>Mariateresa Ciommi</w:t>
    </w:r>
    <w:r>
      <w:rPr>
        <w:rStyle w:val="Numeropagina"/>
        <w:sz w:val="16"/>
        <w:lang w:val="it-IT"/>
      </w:rPr>
      <w:t xml:space="preserve">, </w:t>
    </w:r>
    <w:r w:rsidRPr="008E79A9">
      <w:rPr>
        <w:rStyle w:val="Numeropagina"/>
        <w:sz w:val="16"/>
        <w:lang w:val="it-IT"/>
      </w:rPr>
      <w:t>and G</w:t>
    </w:r>
    <w:r>
      <w:rPr>
        <w:rStyle w:val="Numeropagina"/>
        <w:sz w:val="16"/>
        <w:lang w:val="it-IT"/>
      </w:rPr>
      <w:t>aetano Musella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965D8" w14:textId="77777777" w:rsidR="005A38BC" w:rsidRDefault="005A38BC">
    <w:pPr>
      <w:pStyle w:val="Intestazione"/>
      <w:tabs>
        <w:tab w:val="clear" w:pos="4819"/>
        <w:tab w:val="center" w:pos="6237"/>
      </w:tabs>
      <w:spacing w:before="1200"/>
    </w:pPr>
    <w:r>
      <w:rPr>
        <w:sz w:val="16"/>
      </w:rPr>
      <w:t xml:space="preserve">How effective are the regional policies in Europe? The role of the European Structural </w:t>
    </w:r>
    <w:proofErr w:type="gramStart"/>
    <w:r>
      <w:rPr>
        <w:sz w:val="16"/>
      </w:rPr>
      <w:t>and ...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1495F" w14:textId="77777777" w:rsidR="007762BF" w:rsidRDefault="007762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1"/>
    <w:lvl w:ilvl="0">
      <w:start w:val="1"/>
      <w:numFmt w:val="decimal"/>
      <w:pStyle w:val="References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2">
    <w:nsid w:val="00000003"/>
    <w:multiLevelType w:val="multilevel"/>
    <w:tmpl w:val="00000003"/>
    <w:name w:val="WW8Num13"/>
    <w:lvl w:ilvl="0">
      <w:start w:val="1"/>
      <w:numFmt w:val="decimal"/>
      <w:pStyle w:val="Titolo4"/>
      <w:lvlText w:val="%1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0A6E0C"/>
    <w:multiLevelType w:val="multilevel"/>
    <w:tmpl w:val="339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811509"/>
    <w:multiLevelType w:val="hybridMultilevel"/>
    <w:tmpl w:val="057CCE6A"/>
    <w:lvl w:ilvl="0" w:tplc="AE768A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E302C3"/>
    <w:multiLevelType w:val="hybridMultilevel"/>
    <w:tmpl w:val="6A441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A7639"/>
    <w:multiLevelType w:val="hybridMultilevel"/>
    <w:tmpl w:val="6A441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76253"/>
    <w:multiLevelType w:val="multilevel"/>
    <w:tmpl w:val="20D2621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F7"/>
    <w:rsid w:val="0001464A"/>
    <w:rsid w:val="000216F1"/>
    <w:rsid w:val="00022978"/>
    <w:rsid w:val="00025D1F"/>
    <w:rsid w:val="00026A9F"/>
    <w:rsid w:val="00027304"/>
    <w:rsid w:val="000321DF"/>
    <w:rsid w:val="00032734"/>
    <w:rsid w:val="000336FB"/>
    <w:rsid w:val="00034ACB"/>
    <w:rsid w:val="000356D9"/>
    <w:rsid w:val="0003742F"/>
    <w:rsid w:val="00037B24"/>
    <w:rsid w:val="000411C6"/>
    <w:rsid w:val="000420BB"/>
    <w:rsid w:val="0004451F"/>
    <w:rsid w:val="00044DEE"/>
    <w:rsid w:val="000537DE"/>
    <w:rsid w:val="000560A7"/>
    <w:rsid w:val="000573DE"/>
    <w:rsid w:val="0006109D"/>
    <w:rsid w:val="00062233"/>
    <w:rsid w:val="00064262"/>
    <w:rsid w:val="000645DA"/>
    <w:rsid w:val="000654B2"/>
    <w:rsid w:val="00066252"/>
    <w:rsid w:val="00067AF0"/>
    <w:rsid w:val="00071442"/>
    <w:rsid w:val="000728C5"/>
    <w:rsid w:val="00072B32"/>
    <w:rsid w:val="00073E00"/>
    <w:rsid w:val="000753E4"/>
    <w:rsid w:val="00076C27"/>
    <w:rsid w:val="00076DD4"/>
    <w:rsid w:val="000807BC"/>
    <w:rsid w:val="00080B1F"/>
    <w:rsid w:val="000819FE"/>
    <w:rsid w:val="00084EDE"/>
    <w:rsid w:val="000851B4"/>
    <w:rsid w:val="00085918"/>
    <w:rsid w:val="00087909"/>
    <w:rsid w:val="00093003"/>
    <w:rsid w:val="00095CD7"/>
    <w:rsid w:val="000A022E"/>
    <w:rsid w:val="000A0381"/>
    <w:rsid w:val="000A0DF9"/>
    <w:rsid w:val="000A14C2"/>
    <w:rsid w:val="000A1F82"/>
    <w:rsid w:val="000A6E10"/>
    <w:rsid w:val="000B0CF8"/>
    <w:rsid w:val="000B161C"/>
    <w:rsid w:val="000B650D"/>
    <w:rsid w:val="000B6C78"/>
    <w:rsid w:val="000C0DA7"/>
    <w:rsid w:val="000C1D94"/>
    <w:rsid w:val="000C39AD"/>
    <w:rsid w:val="000C3A75"/>
    <w:rsid w:val="000C3EEA"/>
    <w:rsid w:val="000C4BCA"/>
    <w:rsid w:val="000C57AA"/>
    <w:rsid w:val="000C58E9"/>
    <w:rsid w:val="000C66B3"/>
    <w:rsid w:val="000C6B74"/>
    <w:rsid w:val="000C6CCE"/>
    <w:rsid w:val="000C7F54"/>
    <w:rsid w:val="000D4279"/>
    <w:rsid w:val="000D44FF"/>
    <w:rsid w:val="000D7DFE"/>
    <w:rsid w:val="000E1593"/>
    <w:rsid w:val="000E7E86"/>
    <w:rsid w:val="000F1C7E"/>
    <w:rsid w:val="000F699D"/>
    <w:rsid w:val="000F73E1"/>
    <w:rsid w:val="000F73E5"/>
    <w:rsid w:val="00103E7B"/>
    <w:rsid w:val="001054C5"/>
    <w:rsid w:val="00105937"/>
    <w:rsid w:val="00105D3A"/>
    <w:rsid w:val="00110A02"/>
    <w:rsid w:val="001132CC"/>
    <w:rsid w:val="00114064"/>
    <w:rsid w:val="001141C8"/>
    <w:rsid w:val="00115F42"/>
    <w:rsid w:val="00121814"/>
    <w:rsid w:val="0012227A"/>
    <w:rsid w:val="00124376"/>
    <w:rsid w:val="00124C02"/>
    <w:rsid w:val="00125374"/>
    <w:rsid w:val="00127284"/>
    <w:rsid w:val="001277B1"/>
    <w:rsid w:val="00127DAC"/>
    <w:rsid w:val="00130CEF"/>
    <w:rsid w:val="00131C91"/>
    <w:rsid w:val="00132F74"/>
    <w:rsid w:val="00132FA8"/>
    <w:rsid w:val="0013401C"/>
    <w:rsid w:val="0014417C"/>
    <w:rsid w:val="00144EDF"/>
    <w:rsid w:val="00144F7F"/>
    <w:rsid w:val="00146100"/>
    <w:rsid w:val="00152642"/>
    <w:rsid w:val="0015356E"/>
    <w:rsid w:val="00155442"/>
    <w:rsid w:val="00155C4A"/>
    <w:rsid w:val="00157DBE"/>
    <w:rsid w:val="00161379"/>
    <w:rsid w:val="00165C12"/>
    <w:rsid w:val="001709D9"/>
    <w:rsid w:val="00170FDE"/>
    <w:rsid w:val="001720B8"/>
    <w:rsid w:val="0017288F"/>
    <w:rsid w:val="0017454D"/>
    <w:rsid w:val="001751DD"/>
    <w:rsid w:val="0017693D"/>
    <w:rsid w:val="00176F99"/>
    <w:rsid w:val="00180B02"/>
    <w:rsid w:val="001812BC"/>
    <w:rsid w:val="00183B50"/>
    <w:rsid w:val="00184AD5"/>
    <w:rsid w:val="00184C79"/>
    <w:rsid w:val="00184E6F"/>
    <w:rsid w:val="00185BB1"/>
    <w:rsid w:val="00187046"/>
    <w:rsid w:val="0019045B"/>
    <w:rsid w:val="001925B0"/>
    <w:rsid w:val="00192CA8"/>
    <w:rsid w:val="00194B9F"/>
    <w:rsid w:val="001969CC"/>
    <w:rsid w:val="00196E31"/>
    <w:rsid w:val="00197188"/>
    <w:rsid w:val="001A58DA"/>
    <w:rsid w:val="001A7017"/>
    <w:rsid w:val="001A7585"/>
    <w:rsid w:val="001B4C0B"/>
    <w:rsid w:val="001B6E42"/>
    <w:rsid w:val="001C09E1"/>
    <w:rsid w:val="001C09F4"/>
    <w:rsid w:val="001C31B6"/>
    <w:rsid w:val="001C45B3"/>
    <w:rsid w:val="001C48F1"/>
    <w:rsid w:val="001C5603"/>
    <w:rsid w:val="001C580C"/>
    <w:rsid w:val="001C6AF5"/>
    <w:rsid w:val="001D3341"/>
    <w:rsid w:val="001D71E9"/>
    <w:rsid w:val="001E13A1"/>
    <w:rsid w:val="001E146F"/>
    <w:rsid w:val="001E2E3A"/>
    <w:rsid w:val="001E305F"/>
    <w:rsid w:val="001E38A1"/>
    <w:rsid w:val="001E411A"/>
    <w:rsid w:val="001E5922"/>
    <w:rsid w:val="001F11DA"/>
    <w:rsid w:val="001F637B"/>
    <w:rsid w:val="001F75DD"/>
    <w:rsid w:val="002000AB"/>
    <w:rsid w:val="002024B4"/>
    <w:rsid w:val="002026C6"/>
    <w:rsid w:val="00207F08"/>
    <w:rsid w:val="002106B7"/>
    <w:rsid w:val="00211191"/>
    <w:rsid w:val="00212D1D"/>
    <w:rsid w:val="00213064"/>
    <w:rsid w:val="00213DA2"/>
    <w:rsid w:val="00217FE3"/>
    <w:rsid w:val="00220EAA"/>
    <w:rsid w:val="00221755"/>
    <w:rsid w:val="00223B6C"/>
    <w:rsid w:val="002243A7"/>
    <w:rsid w:val="00225A41"/>
    <w:rsid w:val="00226DC2"/>
    <w:rsid w:val="00227227"/>
    <w:rsid w:val="00227542"/>
    <w:rsid w:val="00232304"/>
    <w:rsid w:val="0023555A"/>
    <w:rsid w:val="00240486"/>
    <w:rsid w:val="0024301C"/>
    <w:rsid w:val="002431DF"/>
    <w:rsid w:val="002432BB"/>
    <w:rsid w:val="0024410F"/>
    <w:rsid w:val="00244C1B"/>
    <w:rsid w:val="00252E58"/>
    <w:rsid w:val="00254D3E"/>
    <w:rsid w:val="0025536E"/>
    <w:rsid w:val="00256DDD"/>
    <w:rsid w:val="002600AA"/>
    <w:rsid w:val="00260FA5"/>
    <w:rsid w:val="002630AC"/>
    <w:rsid w:val="00263817"/>
    <w:rsid w:val="00264BB7"/>
    <w:rsid w:val="00265557"/>
    <w:rsid w:val="00270222"/>
    <w:rsid w:val="00274762"/>
    <w:rsid w:val="0027628B"/>
    <w:rsid w:val="0027635E"/>
    <w:rsid w:val="002768B9"/>
    <w:rsid w:val="00277170"/>
    <w:rsid w:val="002853D6"/>
    <w:rsid w:val="00285727"/>
    <w:rsid w:val="00285E4A"/>
    <w:rsid w:val="00286778"/>
    <w:rsid w:val="00293A69"/>
    <w:rsid w:val="00295984"/>
    <w:rsid w:val="0029773F"/>
    <w:rsid w:val="002A0816"/>
    <w:rsid w:val="002A0878"/>
    <w:rsid w:val="002A40AE"/>
    <w:rsid w:val="002A4AE2"/>
    <w:rsid w:val="002A572D"/>
    <w:rsid w:val="002A64FC"/>
    <w:rsid w:val="002A6CCD"/>
    <w:rsid w:val="002B1D09"/>
    <w:rsid w:val="002B2924"/>
    <w:rsid w:val="002B3514"/>
    <w:rsid w:val="002B4441"/>
    <w:rsid w:val="002B5DAD"/>
    <w:rsid w:val="002C105A"/>
    <w:rsid w:val="002C41DE"/>
    <w:rsid w:val="002C4E00"/>
    <w:rsid w:val="002C511A"/>
    <w:rsid w:val="002C68ED"/>
    <w:rsid w:val="002C6B05"/>
    <w:rsid w:val="002C7740"/>
    <w:rsid w:val="002D13CF"/>
    <w:rsid w:val="002D2F6A"/>
    <w:rsid w:val="002D34D4"/>
    <w:rsid w:val="002D3E0A"/>
    <w:rsid w:val="002D5B9B"/>
    <w:rsid w:val="002E286F"/>
    <w:rsid w:val="002E4EFD"/>
    <w:rsid w:val="002E5FB1"/>
    <w:rsid w:val="002E7CE5"/>
    <w:rsid w:val="002F034D"/>
    <w:rsid w:val="002F16CC"/>
    <w:rsid w:val="002F2D1B"/>
    <w:rsid w:val="002F3433"/>
    <w:rsid w:val="00300466"/>
    <w:rsid w:val="0030389F"/>
    <w:rsid w:val="00313255"/>
    <w:rsid w:val="00314C62"/>
    <w:rsid w:val="00316205"/>
    <w:rsid w:val="00325452"/>
    <w:rsid w:val="00325634"/>
    <w:rsid w:val="00326923"/>
    <w:rsid w:val="00330D66"/>
    <w:rsid w:val="00334566"/>
    <w:rsid w:val="0033676B"/>
    <w:rsid w:val="00336A33"/>
    <w:rsid w:val="00337036"/>
    <w:rsid w:val="00337275"/>
    <w:rsid w:val="00346AA8"/>
    <w:rsid w:val="00347CD6"/>
    <w:rsid w:val="003506AA"/>
    <w:rsid w:val="003524CC"/>
    <w:rsid w:val="00353A10"/>
    <w:rsid w:val="003553E5"/>
    <w:rsid w:val="00355F87"/>
    <w:rsid w:val="00356CEE"/>
    <w:rsid w:val="003650D4"/>
    <w:rsid w:val="00365695"/>
    <w:rsid w:val="00366EB4"/>
    <w:rsid w:val="00367045"/>
    <w:rsid w:val="00367C1B"/>
    <w:rsid w:val="0037061B"/>
    <w:rsid w:val="00370A39"/>
    <w:rsid w:val="0037701E"/>
    <w:rsid w:val="00382597"/>
    <w:rsid w:val="00384398"/>
    <w:rsid w:val="00385544"/>
    <w:rsid w:val="003868CB"/>
    <w:rsid w:val="00387275"/>
    <w:rsid w:val="00391F1C"/>
    <w:rsid w:val="0039283A"/>
    <w:rsid w:val="00394EBF"/>
    <w:rsid w:val="00395903"/>
    <w:rsid w:val="0039734D"/>
    <w:rsid w:val="0039772E"/>
    <w:rsid w:val="003A08ED"/>
    <w:rsid w:val="003A15D7"/>
    <w:rsid w:val="003A1631"/>
    <w:rsid w:val="003A2B30"/>
    <w:rsid w:val="003A37F9"/>
    <w:rsid w:val="003A4862"/>
    <w:rsid w:val="003A5DAD"/>
    <w:rsid w:val="003A67A0"/>
    <w:rsid w:val="003B27F0"/>
    <w:rsid w:val="003B36E1"/>
    <w:rsid w:val="003B3ADC"/>
    <w:rsid w:val="003B4B3A"/>
    <w:rsid w:val="003C049A"/>
    <w:rsid w:val="003C0793"/>
    <w:rsid w:val="003C0F78"/>
    <w:rsid w:val="003C2660"/>
    <w:rsid w:val="003C346E"/>
    <w:rsid w:val="003C3CD7"/>
    <w:rsid w:val="003C738B"/>
    <w:rsid w:val="003D0312"/>
    <w:rsid w:val="003D10BE"/>
    <w:rsid w:val="003D75D7"/>
    <w:rsid w:val="003D7623"/>
    <w:rsid w:val="003E002F"/>
    <w:rsid w:val="003E263C"/>
    <w:rsid w:val="003E5C6B"/>
    <w:rsid w:val="003E621A"/>
    <w:rsid w:val="003F07CA"/>
    <w:rsid w:val="003F09BC"/>
    <w:rsid w:val="003F177B"/>
    <w:rsid w:val="003F2515"/>
    <w:rsid w:val="003F2B74"/>
    <w:rsid w:val="003F3D01"/>
    <w:rsid w:val="003F6192"/>
    <w:rsid w:val="003F70F5"/>
    <w:rsid w:val="00401325"/>
    <w:rsid w:val="00401A74"/>
    <w:rsid w:val="00401F30"/>
    <w:rsid w:val="00402AF1"/>
    <w:rsid w:val="00402BB9"/>
    <w:rsid w:val="00403C0E"/>
    <w:rsid w:val="00404EF3"/>
    <w:rsid w:val="00406AAC"/>
    <w:rsid w:val="00406F27"/>
    <w:rsid w:val="0041049D"/>
    <w:rsid w:val="004126C6"/>
    <w:rsid w:val="00412F47"/>
    <w:rsid w:val="00417C0F"/>
    <w:rsid w:val="00422991"/>
    <w:rsid w:val="00422DCE"/>
    <w:rsid w:val="00423253"/>
    <w:rsid w:val="00427082"/>
    <w:rsid w:val="0042721A"/>
    <w:rsid w:val="0043012E"/>
    <w:rsid w:val="00431338"/>
    <w:rsid w:val="00431F14"/>
    <w:rsid w:val="0043304E"/>
    <w:rsid w:val="00433946"/>
    <w:rsid w:val="0043501B"/>
    <w:rsid w:val="00435EB1"/>
    <w:rsid w:val="00436250"/>
    <w:rsid w:val="00437F65"/>
    <w:rsid w:val="00440C45"/>
    <w:rsid w:val="004439A6"/>
    <w:rsid w:val="004448B9"/>
    <w:rsid w:val="00450024"/>
    <w:rsid w:val="004501E0"/>
    <w:rsid w:val="00453330"/>
    <w:rsid w:val="00453A1E"/>
    <w:rsid w:val="0045649D"/>
    <w:rsid w:val="00456A32"/>
    <w:rsid w:val="004573AE"/>
    <w:rsid w:val="004611B1"/>
    <w:rsid w:val="00461703"/>
    <w:rsid w:val="00461AEC"/>
    <w:rsid w:val="004621B3"/>
    <w:rsid w:val="004623C3"/>
    <w:rsid w:val="00462C70"/>
    <w:rsid w:val="004647FE"/>
    <w:rsid w:val="004657AF"/>
    <w:rsid w:val="00465804"/>
    <w:rsid w:val="004669EE"/>
    <w:rsid w:val="004761A2"/>
    <w:rsid w:val="00476906"/>
    <w:rsid w:val="00476D38"/>
    <w:rsid w:val="00476E7A"/>
    <w:rsid w:val="0047782C"/>
    <w:rsid w:val="004817B7"/>
    <w:rsid w:val="00483866"/>
    <w:rsid w:val="0048490F"/>
    <w:rsid w:val="004879C7"/>
    <w:rsid w:val="00491201"/>
    <w:rsid w:val="00491658"/>
    <w:rsid w:val="0049170A"/>
    <w:rsid w:val="004951CD"/>
    <w:rsid w:val="00495A08"/>
    <w:rsid w:val="004A0363"/>
    <w:rsid w:val="004A07E8"/>
    <w:rsid w:val="004A319D"/>
    <w:rsid w:val="004A3799"/>
    <w:rsid w:val="004B0FC2"/>
    <w:rsid w:val="004B172C"/>
    <w:rsid w:val="004B28AD"/>
    <w:rsid w:val="004B323C"/>
    <w:rsid w:val="004B5CD7"/>
    <w:rsid w:val="004B5FED"/>
    <w:rsid w:val="004B69CC"/>
    <w:rsid w:val="004B6DF5"/>
    <w:rsid w:val="004B7498"/>
    <w:rsid w:val="004B75BE"/>
    <w:rsid w:val="004C0155"/>
    <w:rsid w:val="004C0426"/>
    <w:rsid w:val="004C5977"/>
    <w:rsid w:val="004C63A7"/>
    <w:rsid w:val="004D319E"/>
    <w:rsid w:val="004D3285"/>
    <w:rsid w:val="004D597D"/>
    <w:rsid w:val="004D63B0"/>
    <w:rsid w:val="004E2232"/>
    <w:rsid w:val="004E4774"/>
    <w:rsid w:val="004E6069"/>
    <w:rsid w:val="004F34AC"/>
    <w:rsid w:val="004F59CE"/>
    <w:rsid w:val="004F66AA"/>
    <w:rsid w:val="004F6BE5"/>
    <w:rsid w:val="00500B4E"/>
    <w:rsid w:val="00501A2D"/>
    <w:rsid w:val="00501F37"/>
    <w:rsid w:val="0050255F"/>
    <w:rsid w:val="00505940"/>
    <w:rsid w:val="0050644B"/>
    <w:rsid w:val="005119A3"/>
    <w:rsid w:val="00512B27"/>
    <w:rsid w:val="00512D51"/>
    <w:rsid w:val="005145E3"/>
    <w:rsid w:val="00514CB7"/>
    <w:rsid w:val="00515FB3"/>
    <w:rsid w:val="0051620B"/>
    <w:rsid w:val="00516C22"/>
    <w:rsid w:val="00517068"/>
    <w:rsid w:val="00517398"/>
    <w:rsid w:val="00517753"/>
    <w:rsid w:val="005201D5"/>
    <w:rsid w:val="00521B39"/>
    <w:rsid w:val="00522AD1"/>
    <w:rsid w:val="005231E8"/>
    <w:rsid w:val="00526FAC"/>
    <w:rsid w:val="00530C52"/>
    <w:rsid w:val="00531A2F"/>
    <w:rsid w:val="0053294A"/>
    <w:rsid w:val="0053547A"/>
    <w:rsid w:val="00535750"/>
    <w:rsid w:val="00536C05"/>
    <w:rsid w:val="0054054B"/>
    <w:rsid w:val="0054306D"/>
    <w:rsid w:val="005448C7"/>
    <w:rsid w:val="005457EB"/>
    <w:rsid w:val="00547C15"/>
    <w:rsid w:val="00550EFF"/>
    <w:rsid w:val="005529F4"/>
    <w:rsid w:val="00554DA0"/>
    <w:rsid w:val="00554EA7"/>
    <w:rsid w:val="00565EF5"/>
    <w:rsid w:val="0056695E"/>
    <w:rsid w:val="00566ED7"/>
    <w:rsid w:val="00567581"/>
    <w:rsid w:val="0056789D"/>
    <w:rsid w:val="00572109"/>
    <w:rsid w:val="005755C8"/>
    <w:rsid w:val="00575662"/>
    <w:rsid w:val="00581B05"/>
    <w:rsid w:val="00582F1E"/>
    <w:rsid w:val="005830EB"/>
    <w:rsid w:val="0058693D"/>
    <w:rsid w:val="005906AC"/>
    <w:rsid w:val="005910A5"/>
    <w:rsid w:val="005912F5"/>
    <w:rsid w:val="00593F76"/>
    <w:rsid w:val="00595449"/>
    <w:rsid w:val="005964CA"/>
    <w:rsid w:val="00596F5A"/>
    <w:rsid w:val="00597383"/>
    <w:rsid w:val="005A01F3"/>
    <w:rsid w:val="005A1BB7"/>
    <w:rsid w:val="005A1BE2"/>
    <w:rsid w:val="005A20FD"/>
    <w:rsid w:val="005A2C25"/>
    <w:rsid w:val="005A38BC"/>
    <w:rsid w:val="005A416A"/>
    <w:rsid w:val="005A48E2"/>
    <w:rsid w:val="005A5894"/>
    <w:rsid w:val="005B0D26"/>
    <w:rsid w:val="005B0F52"/>
    <w:rsid w:val="005B1D70"/>
    <w:rsid w:val="005B2842"/>
    <w:rsid w:val="005B3105"/>
    <w:rsid w:val="005B3EF0"/>
    <w:rsid w:val="005B5A3A"/>
    <w:rsid w:val="005B7574"/>
    <w:rsid w:val="005C1AE6"/>
    <w:rsid w:val="005C1EDB"/>
    <w:rsid w:val="005C21F2"/>
    <w:rsid w:val="005C2482"/>
    <w:rsid w:val="005C2967"/>
    <w:rsid w:val="005C2E2D"/>
    <w:rsid w:val="005C39A7"/>
    <w:rsid w:val="005C3D1A"/>
    <w:rsid w:val="005C426F"/>
    <w:rsid w:val="005C4606"/>
    <w:rsid w:val="005C46F0"/>
    <w:rsid w:val="005C658E"/>
    <w:rsid w:val="005D19F1"/>
    <w:rsid w:val="005D3ACB"/>
    <w:rsid w:val="005D6994"/>
    <w:rsid w:val="005E05DE"/>
    <w:rsid w:val="005E3663"/>
    <w:rsid w:val="005E3A6F"/>
    <w:rsid w:val="005E546D"/>
    <w:rsid w:val="005E5DC5"/>
    <w:rsid w:val="005E6529"/>
    <w:rsid w:val="005E6730"/>
    <w:rsid w:val="005E6D9F"/>
    <w:rsid w:val="005E75B9"/>
    <w:rsid w:val="005E7B5A"/>
    <w:rsid w:val="005F1254"/>
    <w:rsid w:val="005F1A1A"/>
    <w:rsid w:val="005F3F58"/>
    <w:rsid w:val="005F55B3"/>
    <w:rsid w:val="005F711E"/>
    <w:rsid w:val="00600C52"/>
    <w:rsid w:val="0060263C"/>
    <w:rsid w:val="00603C5D"/>
    <w:rsid w:val="00606FF8"/>
    <w:rsid w:val="006101DB"/>
    <w:rsid w:val="00610E6A"/>
    <w:rsid w:val="006112FF"/>
    <w:rsid w:val="0061155F"/>
    <w:rsid w:val="00611F62"/>
    <w:rsid w:val="00612E18"/>
    <w:rsid w:val="00613DAC"/>
    <w:rsid w:val="00614607"/>
    <w:rsid w:val="0061492D"/>
    <w:rsid w:val="006210DB"/>
    <w:rsid w:val="006216D3"/>
    <w:rsid w:val="00621B85"/>
    <w:rsid w:val="00624155"/>
    <w:rsid w:val="006245BF"/>
    <w:rsid w:val="00624FE7"/>
    <w:rsid w:val="00626395"/>
    <w:rsid w:val="0062664E"/>
    <w:rsid w:val="00631D5C"/>
    <w:rsid w:val="006345BD"/>
    <w:rsid w:val="00640709"/>
    <w:rsid w:val="00641A03"/>
    <w:rsid w:val="00643B8F"/>
    <w:rsid w:val="00643C78"/>
    <w:rsid w:val="00645348"/>
    <w:rsid w:val="006500E5"/>
    <w:rsid w:val="006553A3"/>
    <w:rsid w:val="00656275"/>
    <w:rsid w:val="00656E47"/>
    <w:rsid w:val="00660A35"/>
    <w:rsid w:val="0066101B"/>
    <w:rsid w:val="006615D9"/>
    <w:rsid w:val="00661797"/>
    <w:rsid w:val="006654F2"/>
    <w:rsid w:val="00671B1A"/>
    <w:rsid w:val="0067294E"/>
    <w:rsid w:val="006734CB"/>
    <w:rsid w:val="00674B1C"/>
    <w:rsid w:val="006750AE"/>
    <w:rsid w:val="0067525C"/>
    <w:rsid w:val="00675902"/>
    <w:rsid w:val="00682E25"/>
    <w:rsid w:val="00684AFA"/>
    <w:rsid w:val="0068754D"/>
    <w:rsid w:val="00693A3E"/>
    <w:rsid w:val="0069648D"/>
    <w:rsid w:val="00697179"/>
    <w:rsid w:val="006A0738"/>
    <w:rsid w:val="006A0D51"/>
    <w:rsid w:val="006A1616"/>
    <w:rsid w:val="006A2082"/>
    <w:rsid w:val="006A30FB"/>
    <w:rsid w:val="006A3893"/>
    <w:rsid w:val="006A6862"/>
    <w:rsid w:val="006A795D"/>
    <w:rsid w:val="006B0F12"/>
    <w:rsid w:val="006B3F5C"/>
    <w:rsid w:val="006B60DE"/>
    <w:rsid w:val="006B63C8"/>
    <w:rsid w:val="006B6584"/>
    <w:rsid w:val="006B7DF6"/>
    <w:rsid w:val="006B7F79"/>
    <w:rsid w:val="006C103C"/>
    <w:rsid w:val="006C1778"/>
    <w:rsid w:val="006C3987"/>
    <w:rsid w:val="006C3E7B"/>
    <w:rsid w:val="006D1986"/>
    <w:rsid w:val="006D3449"/>
    <w:rsid w:val="006D4059"/>
    <w:rsid w:val="006D57A0"/>
    <w:rsid w:val="006D5DD6"/>
    <w:rsid w:val="006D714D"/>
    <w:rsid w:val="006D72D2"/>
    <w:rsid w:val="006D7627"/>
    <w:rsid w:val="006E0ED3"/>
    <w:rsid w:val="006E11AF"/>
    <w:rsid w:val="006E12BB"/>
    <w:rsid w:val="006E4200"/>
    <w:rsid w:val="006E485D"/>
    <w:rsid w:val="006E51BB"/>
    <w:rsid w:val="006E5727"/>
    <w:rsid w:val="006E618B"/>
    <w:rsid w:val="006F00C6"/>
    <w:rsid w:val="006F0F85"/>
    <w:rsid w:val="006F11DC"/>
    <w:rsid w:val="006F2CA1"/>
    <w:rsid w:val="006F4F9F"/>
    <w:rsid w:val="00700731"/>
    <w:rsid w:val="00701E82"/>
    <w:rsid w:val="00702F9F"/>
    <w:rsid w:val="00703375"/>
    <w:rsid w:val="00713A42"/>
    <w:rsid w:val="0071441C"/>
    <w:rsid w:val="00716FDA"/>
    <w:rsid w:val="007171D5"/>
    <w:rsid w:val="00720F6E"/>
    <w:rsid w:val="00721030"/>
    <w:rsid w:val="00722E2E"/>
    <w:rsid w:val="00724319"/>
    <w:rsid w:val="00725CE6"/>
    <w:rsid w:val="00725FF8"/>
    <w:rsid w:val="0072673A"/>
    <w:rsid w:val="00731A10"/>
    <w:rsid w:val="0073256B"/>
    <w:rsid w:val="007329B5"/>
    <w:rsid w:val="00735144"/>
    <w:rsid w:val="00735D43"/>
    <w:rsid w:val="007371D0"/>
    <w:rsid w:val="00740B0E"/>
    <w:rsid w:val="00741A7D"/>
    <w:rsid w:val="0074279B"/>
    <w:rsid w:val="00742F5D"/>
    <w:rsid w:val="0074568D"/>
    <w:rsid w:val="00746BD0"/>
    <w:rsid w:val="00747012"/>
    <w:rsid w:val="00750876"/>
    <w:rsid w:val="00752D44"/>
    <w:rsid w:val="00752E23"/>
    <w:rsid w:val="007537CF"/>
    <w:rsid w:val="00760095"/>
    <w:rsid w:val="00760E9F"/>
    <w:rsid w:val="0076184E"/>
    <w:rsid w:val="007641C5"/>
    <w:rsid w:val="00765791"/>
    <w:rsid w:val="007672ED"/>
    <w:rsid w:val="00771ADC"/>
    <w:rsid w:val="007723D2"/>
    <w:rsid w:val="00773AB5"/>
    <w:rsid w:val="00773C18"/>
    <w:rsid w:val="00774837"/>
    <w:rsid w:val="00774AD9"/>
    <w:rsid w:val="007762BF"/>
    <w:rsid w:val="00776693"/>
    <w:rsid w:val="007822D3"/>
    <w:rsid w:val="00782E94"/>
    <w:rsid w:val="00783613"/>
    <w:rsid w:val="00784ED2"/>
    <w:rsid w:val="00784F57"/>
    <w:rsid w:val="007855FA"/>
    <w:rsid w:val="00785C4E"/>
    <w:rsid w:val="00787941"/>
    <w:rsid w:val="007905A8"/>
    <w:rsid w:val="00790E61"/>
    <w:rsid w:val="00791162"/>
    <w:rsid w:val="0079572A"/>
    <w:rsid w:val="007967B3"/>
    <w:rsid w:val="00797D92"/>
    <w:rsid w:val="007A0F52"/>
    <w:rsid w:val="007A13E5"/>
    <w:rsid w:val="007A29A1"/>
    <w:rsid w:val="007A786A"/>
    <w:rsid w:val="007A7D3F"/>
    <w:rsid w:val="007B0393"/>
    <w:rsid w:val="007B040B"/>
    <w:rsid w:val="007B0C95"/>
    <w:rsid w:val="007B29A4"/>
    <w:rsid w:val="007B4556"/>
    <w:rsid w:val="007B4CC0"/>
    <w:rsid w:val="007B6D52"/>
    <w:rsid w:val="007C0E6D"/>
    <w:rsid w:val="007D4B01"/>
    <w:rsid w:val="007D53E3"/>
    <w:rsid w:val="007E05F9"/>
    <w:rsid w:val="007E1C51"/>
    <w:rsid w:val="007E2219"/>
    <w:rsid w:val="007E4933"/>
    <w:rsid w:val="007E4BC8"/>
    <w:rsid w:val="007E7A25"/>
    <w:rsid w:val="007E7CA5"/>
    <w:rsid w:val="007F142A"/>
    <w:rsid w:val="007F2D5E"/>
    <w:rsid w:val="007F5879"/>
    <w:rsid w:val="007F6B09"/>
    <w:rsid w:val="007F7AC5"/>
    <w:rsid w:val="008035BA"/>
    <w:rsid w:val="008121DA"/>
    <w:rsid w:val="00812239"/>
    <w:rsid w:val="00813540"/>
    <w:rsid w:val="00813724"/>
    <w:rsid w:val="00814A3E"/>
    <w:rsid w:val="00815EFF"/>
    <w:rsid w:val="008223E1"/>
    <w:rsid w:val="00824493"/>
    <w:rsid w:val="00825222"/>
    <w:rsid w:val="008255D9"/>
    <w:rsid w:val="00830103"/>
    <w:rsid w:val="00830D5E"/>
    <w:rsid w:val="0083151F"/>
    <w:rsid w:val="008315A9"/>
    <w:rsid w:val="008320FD"/>
    <w:rsid w:val="008323A0"/>
    <w:rsid w:val="00832F9D"/>
    <w:rsid w:val="0083392B"/>
    <w:rsid w:val="00833F9C"/>
    <w:rsid w:val="0083422A"/>
    <w:rsid w:val="008359C0"/>
    <w:rsid w:val="00836523"/>
    <w:rsid w:val="00837E28"/>
    <w:rsid w:val="008401B8"/>
    <w:rsid w:val="00842478"/>
    <w:rsid w:val="00844C3B"/>
    <w:rsid w:val="00845D5B"/>
    <w:rsid w:val="0084711B"/>
    <w:rsid w:val="00851E7A"/>
    <w:rsid w:val="00851F3A"/>
    <w:rsid w:val="00852C63"/>
    <w:rsid w:val="00852DE6"/>
    <w:rsid w:val="0085778F"/>
    <w:rsid w:val="00860444"/>
    <w:rsid w:val="00863834"/>
    <w:rsid w:val="00867273"/>
    <w:rsid w:val="0087249D"/>
    <w:rsid w:val="008744E3"/>
    <w:rsid w:val="0087662A"/>
    <w:rsid w:val="008770E1"/>
    <w:rsid w:val="00877433"/>
    <w:rsid w:val="00881B3E"/>
    <w:rsid w:val="00883939"/>
    <w:rsid w:val="0088456E"/>
    <w:rsid w:val="00884B0F"/>
    <w:rsid w:val="00885A7B"/>
    <w:rsid w:val="008865AC"/>
    <w:rsid w:val="008872D0"/>
    <w:rsid w:val="00893435"/>
    <w:rsid w:val="00894782"/>
    <w:rsid w:val="0089683D"/>
    <w:rsid w:val="008A1F28"/>
    <w:rsid w:val="008A2553"/>
    <w:rsid w:val="008B1BC6"/>
    <w:rsid w:val="008B4A50"/>
    <w:rsid w:val="008B5418"/>
    <w:rsid w:val="008B59F2"/>
    <w:rsid w:val="008B6F3D"/>
    <w:rsid w:val="008B7DDF"/>
    <w:rsid w:val="008C09AA"/>
    <w:rsid w:val="008C1707"/>
    <w:rsid w:val="008C2A77"/>
    <w:rsid w:val="008C5488"/>
    <w:rsid w:val="008C5946"/>
    <w:rsid w:val="008C6D42"/>
    <w:rsid w:val="008D036E"/>
    <w:rsid w:val="008D31CB"/>
    <w:rsid w:val="008D5C46"/>
    <w:rsid w:val="008E23EE"/>
    <w:rsid w:val="008E2432"/>
    <w:rsid w:val="008E27BD"/>
    <w:rsid w:val="008E4876"/>
    <w:rsid w:val="008E4B7F"/>
    <w:rsid w:val="008E5B52"/>
    <w:rsid w:val="008E79A9"/>
    <w:rsid w:val="008F2197"/>
    <w:rsid w:val="008F2905"/>
    <w:rsid w:val="008F4299"/>
    <w:rsid w:val="008F5EC2"/>
    <w:rsid w:val="008F690D"/>
    <w:rsid w:val="00901DA4"/>
    <w:rsid w:val="00902282"/>
    <w:rsid w:val="00902D4E"/>
    <w:rsid w:val="0090471D"/>
    <w:rsid w:val="00904C4E"/>
    <w:rsid w:val="0090531B"/>
    <w:rsid w:val="00906E92"/>
    <w:rsid w:val="00906FE8"/>
    <w:rsid w:val="0091313E"/>
    <w:rsid w:val="0091341E"/>
    <w:rsid w:val="0091361F"/>
    <w:rsid w:val="00915E63"/>
    <w:rsid w:val="00916A30"/>
    <w:rsid w:val="00926B73"/>
    <w:rsid w:val="009278EC"/>
    <w:rsid w:val="00927E04"/>
    <w:rsid w:val="00927E13"/>
    <w:rsid w:val="009329D9"/>
    <w:rsid w:val="00933EA2"/>
    <w:rsid w:val="009434A8"/>
    <w:rsid w:val="009441FB"/>
    <w:rsid w:val="009471F7"/>
    <w:rsid w:val="0094721C"/>
    <w:rsid w:val="00951C66"/>
    <w:rsid w:val="00952638"/>
    <w:rsid w:val="009541FC"/>
    <w:rsid w:val="00954836"/>
    <w:rsid w:val="00954B15"/>
    <w:rsid w:val="00955C1D"/>
    <w:rsid w:val="00956BAC"/>
    <w:rsid w:val="00957364"/>
    <w:rsid w:val="0095745A"/>
    <w:rsid w:val="0096176F"/>
    <w:rsid w:val="00961F8C"/>
    <w:rsid w:val="0096267D"/>
    <w:rsid w:val="00963180"/>
    <w:rsid w:val="00964854"/>
    <w:rsid w:val="00964FF8"/>
    <w:rsid w:val="00965946"/>
    <w:rsid w:val="00965C20"/>
    <w:rsid w:val="0096699E"/>
    <w:rsid w:val="0096743D"/>
    <w:rsid w:val="00971D45"/>
    <w:rsid w:val="0097294A"/>
    <w:rsid w:val="0097368F"/>
    <w:rsid w:val="00973AC4"/>
    <w:rsid w:val="00977B0B"/>
    <w:rsid w:val="00977BEE"/>
    <w:rsid w:val="00977EE6"/>
    <w:rsid w:val="00982C40"/>
    <w:rsid w:val="00985D05"/>
    <w:rsid w:val="00986C08"/>
    <w:rsid w:val="0099139B"/>
    <w:rsid w:val="00991405"/>
    <w:rsid w:val="009946EB"/>
    <w:rsid w:val="00995056"/>
    <w:rsid w:val="00996594"/>
    <w:rsid w:val="009A1CEC"/>
    <w:rsid w:val="009A3905"/>
    <w:rsid w:val="009A5EFE"/>
    <w:rsid w:val="009A70D3"/>
    <w:rsid w:val="009B0542"/>
    <w:rsid w:val="009B13D6"/>
    <w:rsid w:val="009B2B48"/>
    <w:rsid w:val="009B60CF"/>
    <w:rsid w:val="009B72D8"/>
    <w:rsid w:val="009B764E"/>
    <w:rsid w:val="009C12A9"/>
    <w:rsid w:val="009C19FC"/>
    <w:rsid w:val="009C2457"/>
    <w:rsid w:val="009C2459"/>
    <w:rsid w:val="009C74D6"/>
    <w:rsid w:val="009C7D2F"/>
    <w:rsid w:val="009D032B"/>
    <w:rsid w:val="009D0E2A"/>
    <w:rsid w:val="009D229E"/>
    <w:rsid w:val="009D3701"/>
    <w:rsid w:val="009D45C6"/>
    <w:rsid w:val="009D723C"/>
    <w:rsid w:val="009E311D"/>
    <w:rsid w:val="009E35AD"/>
    <w:rsid w:val="009E5C6B"/>
    <w:rsid w:val="009E76C0"/>
    <w:rsid w:val="009F11A7"/>
    <w:rsid w:val="009F2A71"/>
    <w:rsid w:val="009F2D74"/>
    <w:rsid w:val="009F3138"/>
    <w:rsid w:val="009F468D"/>
    <w:rsid w:val="009F618B"/>
    <w:rsid w:val="009F7331"/>
    <w:rsid w:val="00A017CE"/>
    <w:rsid w:val="00A019AB"/>
    <w:rsid w:val="00A02F7B"/>
    <w:rsid w:val="00A10E4D"/>
    <w:rsid w:val="00A12719"/>
    <w:rsid w:val="00A129E7"/>
    <w:rsid w:val="00A12ED5"/>
    <w:rsid w:val="00A1326C"/>
    <w:rsid w:val="00A13F01"/>
    <w:rsid w:val="00A14580"/>
    <w:rsid w:val="00A147F9"/>
    <w:rsid w:val="00A149B1"/>
    <w:rsid w:val="00A149DC"/>
    <w:rsid w:val="00A14A72"/>
    <w:rsid w:val="00A178FB"/>
    <w:rsid w:val="00A23A50"/>
    <w:rsid w:val="00A24038"/>
    <w:rsid w:val="00A24186"/>
    <w:rsid w:val="00A337C2"/>
    <w:rsid w:val="00A369E7"/>
    <w:rsid w:val="00A370D0"/>
    <w:rsid w:val="00A41FE5"/>
    <w:rsid w:val="00A470CB"/>
    <w:rsid w:val="00A47C50"/>
    <w:rsid w:val="00A504E4"/>
    <w:rsid w:val="00A5052B"/>
    <w:rsid w:val="00A5148D"/>
    <w:rsid w:val="00A51D77"/>
    <w:rsid w:val="00A52241"/>
    <w:rsid w:val="00A54418"/>
    <w:rsid w:val="00A55F0E"/>
    <w:rsid w:val="00A56BC0"/>
    <w:rsid w:val="00A61478"/>
    <w:rsid w:val="00A63D2B"/>
    <w:rsid w:val="00A67565"/>
    <w:rsid w:val="00A706C5"/>
    <w:rsid w:val="00A737CE"/>
    <w:rsid w:val="00A73A37"/>
    <w:rsid w:val="00A7731F"/>
    <w:rsid w:val="00A77BFA"/>
    <w:rsid w:val="00A81C5B"/>
    <w:rsid w:val="00A82214"/>
    <w:rsid w:val="00A84561"/>
    <w:rsid w:val="00A84743"/>
    <w:rsid w:val="00A85437"/>
    <w:rsid w:val="00A856F7"/>
    <w:rsid w:val="00A93A04"/>
    <w:rsid w:val="00A970C0"/>
    <w:rsid w:val="00AA05AB"/>
    <w:rsid w:val="00AA52B9"/>
    <w:rsid w:val="00AA5BFD"/>
    <w:rsid w:val="00AA66A3"/>
    <w:rsid w:val="00AB54F1"/>
    <w:rsid w:val="00AB59F7"/>
    <w:rsid w:val="00AB61A1"/>
    <w:rsid w:val="00AC1D79"/>
    <w:rsid w:val="00AC518F"/>
    <w:rsid w:val="00AC5714"/>
    <w:rsid w:val="00AC62B5"/>
    <w:rsid w:val="00AC7E5F"/>
    <w:rsid w:val="00AD016F"/>
    <w:rsid w:val="00AD1790"/>
    <w:rsid w:val="00AD19DE"/>
    <w:rsid w:val="00AD1A56"/>
    <w:rsid w:val="00AD2CBA"/>
    <w:rsid w:val="00AD2E62"/>
    <w:rsid w:val="00AD456B"/>
    <w:rsid w:val="00AD598A"/>
    <w:rsid w:val="00AD5F6D"/>
    <w:rsid w:val="00AE053D"/>
    <w:rsid w:val="00AE2815"/>
    <w:rsid w:val="00AE5169"/>
    <w:rsid w:val="00AF02B0"/>
    <w:rsid w:val="00AF1CEF"/>
    <w:rsid w:val="00AF4BC5"/>
    <w:rsid w:val="00AF6FFE"/>
    <w:rsid w:val="00B0062B"/>
    <w:rsid w:val="00B04F0A"/>
    <w:rsid w:val="00B11664"/>
    <w:rsid w:val="00B13F5B"/>
    <w:rsid w:val="00B142D3"/>
    <w:rsid w:val="00B143E2"/>
    <w:rsid w:val="00B17B6E"/>
    <w:rsid w:val="00B201E8"/>
    <w:rsid w:val="00B22258"/>
    <w:rsid w:val="00B224E4"/>
    <w:rsid w:val="00B22D63"/>
    <w:rsid w:val="00B27148"/>
    <w:rsid w:val="00B273BE"/>
    <w:rsid w:val="00B31EFD"/>
    <w:rsid w:val="00B33DDB"/>
    <w:rsid w:val="00B34945"/>
    <w:rsid w:val="00B42689"/>
    <w:rsid w:val="00B45649"/>
    <w:rsid w:val="00B45C4A"/>
    <w:rsid w:val="00B45E6D"/>
    <w:rsid w:val="00B47210"/>
    <w:rsid w:val="00B5046E"/>
    <w:rsid w:val="00B511DA"/>
    <w:rsid w:val="00B519B6"/>
    <w:rsid w:val="00B51B90"/>
    <w:rsid w:val="00B5206F"/>
    <w:rsid w:val="00B526CF"/>
    <w:rsid w:val="00B5419D"/>
    <w:rsid w:val="00B54F67"/>
    <w:rsid w:val="00B57475"/>
    <w:rsid w:val="00B60E24"/>
    <w:rsid w:val="00B60E87"/>
    <w:rsid w:val="00B6380B"/>
    <w:rsid w:val="00B64313"/>
    <w:rsid w:val="00B64D09"/>
    <w:rsid w:val="00B662F8"/>
    <w:rsid w:val="00B67824"/>
    <w:rsid w:val="00B72CDF"/>
    <w:rsid w:val="00B73C0E"/>
    <w:rsid w:val="00B750BE"/>
    <w:rsid w:val="00B75781"/>
    <w:rsid w:val="00B75F14"/>
    <w:rsid w:val="00B763AB"/>
    <w:rsid w:val="00B76995"/>
    <w:rsid w:val="00B80487"/>
    <w:rsid w:val="00B80BD1"/>
    <w:rsid w:val="00B811E0"/>
    <w:rsid w:val="00B813FC"/>
    <w:rsid w:val="00B83C8E"/>
    <w:rsid w:val="00B8491D"/>
    <w:rsid w:val="00B91CB8"/>
    <w:rsid w:val="00B921CD"/>
    <w:rsid w:val="00B93995"/>
    <w:rsid w:val="00B94530"/>
    <w:rsid w:val="00B9700E"/>
    <w:rsid w:val="00BA12A0"/>
    <w:rsid w:val="00BB0D90"/>
    <w:rsid w:val="00BB2AA5"/>
    <w:rsid w:val="00BB2FEE"/>
    <w:rsid w:val="00BB3761"/>
    <w:rsid w:val="00BB3C11"/>
    <w:rsid w:val="00BB5718"/>
    <w:rsid w:val="00BC0B58"/>
    <w:rsid w:val="00BC6317"/>
    <w:rsid w:val="00BC7DAC"/>
    <w:rsid w:val="00BD0605"/>
    <w:rsid w:val="00BD08B8"/>
    <w:rsid w:val="00BD5891"/>
    <w:rsid w:val="00BD6E89"/>
    <w:rsid w:val="00BD7AC8"/>
    <w:rsid w:val="00BE0A98"/>
    <w:rsid w:val="00BE3905"/>
    <w:rsid w:val="00BE668E"/>
    <w:rsid w:val="00BE6B18"/>
    <w:rsid w:val="00BF2D4B"/>
    <w:rsid w:val="00BF5F8E"/>
    <w:rsid w:val="00BF6274"/>
    <w:rsid w:val="00BF6312"/>
    <w:rsid w:val="00BF7069"/>
    <w:rsid w:val="00BF7895"/>
    <w:rsid w:val="00C0034D"/>
    <w:rsid w:val="00C00FEC"/>
    <w:rsid w:val="00C0298A"/>
    <w:rsid w:val="00C02C96"/>
    <w:rsid w:val="00C04322"/>
    <w:rsid w:val="00C06178"/>
    <w:rsid w:val="00C111BB"/>
    <w:rsid w:val="00C1270B"/>
    <w:rsid w:val="00C20F37"/>
    <w:rsid w:val="00C2315E"/>
    <w:rsid w:val="00C234D5"/>
    <w:rsid w:val="00C23A84"/>
    <w:rsid w:val="00C269A7"/>
    <w:rsid w:val="00C26A69"/>
    <w:rsid w:val="00C2738E"/>
    <w:rsid w:val="00C30F87"/>
    <w:rsid w:val="00C32631"/>
    <w:rsid w:val="00C32F8F"/>
    <w:rsid w:val="00C33696"/>
    <w:rsid w:val="00C36339"/>
    <w:rsid w:val="00C36D92"/>
    <w:rsid w:val="00C37E2D"/>
    <w:rsid w:val="00C4002D"/>
    <w:rsid w:val="00C435F4"/>
    <w:rsid w:val="00C44EBF"/>
    <w:rsid w:val="00C504C1"/>
    <w:rsid w:val="00C50C0D"/>
    <w:rsid w:val="00C51EB6"/>
    <w:rsid w:val="00C526AE"/>
    <w:rsid w:val="00C538D4"/>
    <w:rsid w:val="00C539E4"/>
    <w:rsid w:val="00C54466"/>
    <w:rsid w:val="00C54BB1"/>
    <w:rsid w:val="00C5500B"/>
    <w:rsid w:val="00C5589C"/>
    <w:rsid w:val="00C60977"/>
    <w:rsid w:val="00C64150"/>
    <w:rsid w:val="00C644A7"/>
    <w:rsid w:val="00C65A3E"/>
    <w:rsid w:val="00C65FE2"/>
    <w:rsid w:val="00C70DB7"/>
    <w:rsid w:val="00C71975"/>
    <w:rsid w:val="00C71CB6"/>
    <w:rsid w:val="00C776D1"/>
    <w:rsid w:val="00C86F3E"/>
    <w:rsid w:val="00C878C5"/>
    <w:rsid w:val="00C87DD1"/>
    <w:rsid w:val="00C90126"/>
    <w:rsid w:val="00C90315"/>
    <w:rsid w:val="00C9220A"/>
    <w:rsid w:val="00C92D34"/>
    <w:rsid w:val="00C930E0"/>
    <w:rsid w:val="00C95BA6"/>
    <w:rsid w:val="00C968EF"/>
    <w:rsid w:val="00CA0C5B"/>
    <w:rsid w:val="00CA0D8D"/>
    <w:rsid w:val="00CA0FA8"/>
    <w:rsid w:val="00CA16C6"/>
    <w:rsid w:val="00CA2722"/>
    <w:rsid w:val="00CA40BE"/>
    <w:rsid w:val="00CA423D"/>
    <w:rsid w:val="00CA4B27"/>
    <w:rsid w:val="00CA6818"/>
    <w:rsid w:val="00CB1217"/>
    <w:rsid w:val="00CB16B0"/>
    <w:rsid w:val="00CB676A"/>
    <w:rsid w:val="00CB73D3"/>
    <w:rsid w:val="00CC07B8"/>
    <w:rsid w:val="00CC2AFC"/>
    <w:rsid w:val="00CC2C51"/>
    <w:rsid w:val="00CC56B5"/>
    <w:rsid w:val="00CC788B"/>
    <w:rsid w:val="00CD232B"/>
    <w:rsid w:val="00CD357C"/>
    <w:rsid w:val="00CD3AC3"/>
    <w:rsid w:val="00CD3B65"/>
    <w:rsid w:val="00CD4526"/>
    <w:rsid w:val="00CD52DC"/>
    <w:rsid w:val="00CD749E"/>
    <w:rsid w:val="00CE1421"/>
    <w:rsid w:val="00CE2B07"/>
    <w:rsid w:val="00CE36AF"/>
    <w:rsid w:val="00CE3B24"/>
    <w:rsid w:val="00CE3D6C"/>
    <w:rsid w:val="00CE4FCD"/>
    <w:rsid w:val="00CE5C27"/>
    <w:rsid w:val="00CE6BC1"/>
    <w:rsid w:val="00CE7740"/>
    <w:rsid w:val="00CF081D"/>
    <w:rsid w:val="00CF220A"/>
    <w:rsid w:val="00CF3453"/>
    <w:rsid w:val="00CF6327"/>
    <w:rsid w:val="00CF7416"/>
    <w:rsid w:val="00D0077E"/>
    <w:rsid w:val="00D00EEA"/>
    <w:rsid w:val="00D0330F"/>
    <w:rsid w:val="00D03B97"/>
    <w:rsid w:val="00D059C0"/>
    <w:rsid w:val="00D07D8E"/>
    <w:rsid w:val="00D1060D"/>
    <w:rsid w:val="00D11B35"/>
    <w:rsid w:val="00D12800"/>
    <w:rsid w:val="00D1410F"/>
    <w:rsid w:val="00D14B1F"/>
    <w:rsid w:val="00D177A9"/>
    <w:rsid w:val="00D17EFD"/>
    <w:rsid w:val="00D2066A"/>
    <w:rsid w:val="00D21F58"/>
    <w:rsid w:val="00D22D0B"/>
    <w:rsid w:val="00D2475C"/>
    <w:rsid w:val="00D24D5A"/>
    <w:rsid w:val="00D24D77"/>
    <w:rsid w:val="00D27643"/>
    <w:rsid w:val="00D276DB"/>
    <w:rsid w:val="00D300A0"/>
    <w:rsid w:val="00D303AC"/>
    <w:rsid w:val="00D35C1E"/>
    <w:rsid w:val="00D3719D"/>
    <w:rsid w:val="00D37CCF"/>
    <w:rsid w:val="00D4345C"/>
    <w:rsid w:val="00D4361B"/>
    <w:rsid w:val="00D44284"/>
    <w:rsid w:val="00D45A38"/>
    <w:rsid w:val="00D509D3"/>
    <w:rsid w:val="00D512D6"/>
    <w:rsid w:val="00D51921"/>
    <w:rsid w:val="00D5239B"/>
    <w:rsid w:val="00D523B1"/>
    <w:rsid w:val="00D523FB"/>
    <w:rsid w:val="00D55A10"/>
    <w:rsid w:val="00D55B7B"/>
    <w:rsid w:val="00D60F67"/>
    <w:rsid w:val="00D627FD"/>
    <w:rsid w:val="00D65DAE"/>
    <w:rsid w:val="00D71745"/>
    <w:rsid w:val="00D72503"/>
    <w:rsid w:val="00D725CA"/>
    <w:rsid w:val="00D73F32"/>
    <w:rsid w:val="00D8151E"/>
    <w:rsid w:val="00D83343"/>
    <w:rsid w:val="00D83FFB"/>
    <w:rsid w:val="00D876CE"/>
    <w:rsid w:val="00D905AA"/>
    <w:rsid w:val="00D913B7"/>
    <w:rsid w:val="00D94BEF"/>
    <w:rsid w:val="00D9507E"/>
    <w:rsid w:val="00D97F6B"/>
    <w:rsid w:val="00DA1777"/>
    <w:rsid w:val="00DA2611"/>
    <w:rsid w:val="00DA4F59"/>
    <w:rsid w:val="00DB0DC9"/>
    <w:rsid w:val="00DB0FE2"/>
    <w:rsid w:val="00DB1DB9"/>
    <w:rsid w:val="00DB2F52"/>
    <w:rsid w:val="00DB62EF"/>
    <w:rsid w:val="00DC6F7D"/>
    <w:rsid w:val="00DD03BE"/>
    <w:rsid w:val="00DD1FAF"/>
    <w:rsid w:val="00DD62A6"/>
    <w:rsid w:val="00DD6BAA"/>
    <w:rsid w:val="00DD7475"/>
    <w:rsid w:val="00DE0384"/>
    <w:rsid w:val="00DE06BA"/>
    <w:rsid w:val="00DE1B3C"/>
    <w:rsid w:val="00DE1F99"/>
    <w:rsid w:val="00DE20D4"/>
    <w:rsid w:val="00DE2462"/>
    <w:rsid w:val="00DE2AC6"/>
    <w:rsid w:val="00DE3F1C"/>
    <w:rsid w:val="00DE4DC3"/>
    <w:rsid w:val="00DE77AE"/>
    <w:rsid w:val="00DF5044"/>
    <w:rsid w:val="00E01234"/>
    <w:rsid w:val="00E01265"/>
    <w:rsid w:val="00E014C4"/>
    <w:rsid w:val="00E036B0"/>
    <w:rsid w:val="00E03A2B"/>
    <w:rsid w:val="00E0406D"/>
    <w:rsid w:val="00E04DEE"/>
    <w:rsid w:val="00E11CCA"/>
    <w:rsid w:val="00E122DF"/>
    <w:rsid w:val="00E13CE3"/>
    <w:rsid w:val="00E1431C"/>
    <w:rsid w:val="00E148B1"/>
    <w:rsid w:val="00E16149"/>
    <w:rsid w:val="00E1699C"/>
    <w:rsid w:val="00E20F58"/>
    <w:rsid w:val="00E222E5"/>
    <w:rsid w:val="00E2568E"/>
    <w:rsid w:val="00E26FD1"/>
    <w:rsid w:val="00E3005A"/>
    <w:rsid w:val="00E31428"/>
    <w:rsid w:val="00E32864"/>
    <w:rsid w:val="00E34271"/>
    <w:rsid w:val="00E36BCF"/>
    <w:rsid w:val="00E37314"/>
    <w:rsid w:val="00E4224D"/>
    <w:rsid w:val="00E4303D"/>
    <w:rsid w:val="00E432C3"/>
    <w:rsid w:val="00E43556"/>
    <w:rsid w:val="00E553AE"/>
    <w:rsid w:val="00E57A82"/>
    <w:rsid w:val="00E57E56"/>
    <w:rsid w:val="00E6031E"/>
    <w:rsid w:val="00E60524"/>
    <w:rsid w:val="00E6147B"/>
    <w:rsid w:val="00E617A8"/>
    <w:rsid w:val="00E65171"/>
    <w:rsid w:val="00E65349"/>
    <w:rsid w:val="00E66C09"/>
    <w:rsid w:val="00E7098A"/>
    <w:rsid w:val="00E744B7"/>
    <w:rsid w:val="00E74A50"/>
    <w:rsid w:val="00E74D5F"/>
    <w:rsid w:val="00E75369"/>
    <w:rsid w:val="00E756AA"/>
    <w:rsid w:val="00E768F6"/>
    <w:rsid w:val="00E82034"/>
    <w:rsid w:val="00E8293A"/>
    <w:rsid w:val="00E83383"/>
    <w:rsid w:val="00E83E51"/>
    <w:rsid w:val="00E84601"/>
    <w:rsid w:val="00E919AE"/>
    <w:rsid w:val="00E93ED5"/>
    <w:rsid w:val="00E97480"/>
    <w:rsid w:val="00EA3829"/>
    <w:rsid w:val="00EA7EE1"/>
    <w:rsid w:val="00EB09EF"/>
    <w:rsid w:val="00EB1FBF"/>
    <w:rsid w:val="00EB40FD"/>
    <w:rsid w:val="00EB417E"/>
    <w:rsid w:val="00EB535D"/>
    <w:rsid w:val="00EC0842"/>
    <w:rsid w:val="00EC0A90"/>
    <w:rsid w:val="00EC2244"/>
    <w:rsid w:val="00EC24A7"/>
    <w:rsid w:val="00EC3D56"/>
    <w:rsid w:val="00EC6411"/>
    <w:rsid w:val="00EC78EF"/>
    <w:rsid w:val="00EC790D"/>
    <w:rsid w:val="00ED03C7"/>
    <w:rsid w:val="00ED1026"/>
    <w:rsid w:val="00ED3F53"/>
    <w:rsid w:val="00ED4312"/>
    <w:rsid w:val="00EE17D0"/>
    <w:rsid w:val="00EE1AAF"/>
    <w:rsid w:val="00EE1F4F"/>
    <w:rsid w:val="00EE287F"/>
    <w:rsid w:val="00EE29FB"/>
    <w:rsid w:val="00EE2AEC"/>
    <w:rsid w:val="00EE2BCF"/>
    <w:rsid w:val="00EE322C"/>
    <w:rsid w:val="00EE3687"/>
    <w:rsid w:val="00EE4401"/>
    <w:rsid w:val="00EE4A23"/>
    <w:rsid w:val="00EE4F62"/>
    <w:rsid w:val="00EE6D19"/>
    <w:rsid w:val="00EF1E68"/>
    <w:rsid w:val="00EF3514"/>
    <w:rsid w:val="00EF4A67"/>
    <w:rsid w:val="00F011D6"/>
    <w:rsid w:val="00F10EC2"/>
    <w:rsid w:val="00F115E9"/>
    <w:rsid w:val="00F117E4"/>
    <w:rsid w:val="00F12C8E"/>
    <w:rsid w:val="00F15CA9"/>
    <w:rsid w:val="00F213BC"/>
    <w:rsid w:val="00F21E92"/>
    <w:rsid w:val="00F21FCA"/>
    <w:rsid w:val="00F22574"/>
    <w:rsid w:val="00F23362"/>
    <w:rsid w:val="00F234D0"/>
    <w:rsid w:val="00F244FF"/>
    <w:rsid w:val="00F24B02"/>
    <w:rsid w:val="00F27934"/>
    <w:rsid w:val="00F31A46"/>
    <w:rsid w:val="00F32158"/>
    <w:rsid w:val="00F32A42"/>
    <w:rsid w:val="00F340FB"/>
    <w:rsid w:val="00F35282"/>
    <w:rsid w:val="00F4090E"/>
    <w:rsid w:val="00F40C35"/>
    <w:rsid w:val="00F41575"/>
    <w:rsid w:val="00F415B5"/>
    <w:rsid w:val="00F4237B"/>
    <w:rsid w:val="00F42E0B"/>
    <w:rsid w:val="00F43A26"/>
    <w:rsid w:val="00F43BD6"/>
    <w:rsid w:val="00F46573"/>
    <w:rsid w:val="00F46F11"/>
    <w:rsid w:val="00F47CA8"/>
    <w:rsid w:val="00F5026A"/>
    <w:rsid w:val="00F54868"/>
    <w:rsid w:val="00F54FE0"/>
    <w:rsid w:val="00F57896"/>
    <w:rsid w:val="00F62826"/>
    <w:rsid w:val="00F63084"/>
    <w:rsid w:val="00F67A5C"/>
    <w:rsid w:val="00F67C4D"/>
    <w:rsid w:val="00F714CF"/>
    <w:rsid w:val="00F71BA1"/>
    <w:rsid w:val="00F72898"/>
    <w:rsid w:val="00F72ED2"/>
    <w:rsid w:val="00F740AF"/>
    <w:rsid w:val="00F81A88"/>
    <w:rsid w:val="00F83C22"/>
    <w:rsid w:val="00F847C6"/>
    <w:rsid w:val="00F84CFF"/>
    <w:rsid w:val="00F85336"/>
    <w:rsid w:val="00F86289"/>
    <w:rsid w:val="00F86B7E"/>
    <w:rsid w:val="00F878E0"/>
    <w:rsid w:val="00F87E1A"/>
    <w:rsid w:val="00F94231"/>
    <w:rsid w:val="00F944BE"/>
    <w:rsid w:val="00F967C8"/>
    <w:rsid w:val="00F96B76"/>
    <w:rsid w:val="00F9728D"/>
    <w:rsid w:val="00FA158D"/>
    <w:rsid w:val="00FA1998"/>
    <w:rsid w:val="00FA362B"/>
    <w:rsid w:val="00FA5F1D"/>
    <w:rsid w:val="00FA67E5"/>
    <w:rsid w:val="00FA7456"/>
    <w:rsid w:val="00FA7C0B"/>
    <w:rsid w:val="00FB1537"/>
    <w:rsid w:val="00FB22A1"/>
    <w:rsid w:val="00FB2561"/>
    <w:rsid w:val="00FB754E"/>
    <w:rsid w:val="00FC0A9C"/>
    <w:rsid w:val="00FC0C3A"/>
    <w:rsid w:val="00FC20B5"/>
    <w:rsid w:val="00FC2D38"/>
    <w:rsid w:val="00FC3006"/>
    <w:rsid w:val="00FC3788"/>
    <w:rsid w:val="00FC61E3"/>
    <w:rsid w:val="00FC639B"/>
    <w:rsid w:val="00FC7046"/>
    <w:rsid w:val="00FD2118"/>
    <w:rsid w:val="00FD2A87"/>
    <w:rsid w:val="00FD4985"/>
    <w:rsid w:val="00FD65BE"/>
    <w:rsid w:val="00FD684B"/>
    <w:rsid w:val="00FE1F98"/>
    <w:rsid w:val="00FE34AB"/>
    <w:rsid w:val="00FE3EFD"/>
    <w:rsid w:val="00FE4DFA"/>
    <w:rsid w:val="00FE6256"/>
    <w:rsid w:val="00FE6866"/>
    <w:rsid w:val="00FE6D82"/>
    <w:rsid w:val="00FE7E64"/>
    <w:rsid w:val="00FF518E"/>
    <w:rsid w:val="00FF616C"/>
    <w:rsid w:val="00FF6D1F"/>
    <w:rsid w:val="00FF782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214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numId w:val="3"/>
      </w:numPr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tabs>
        <w:tab w:val="num" w:pos="284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tabs>
        <w:tab w:val="num" w:pos="284"/>
      </w:tabs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tabs>
        <w:tab w:val="num" w:pos="284"/>
      </w:tabs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tabs>
        <w:tab w:val="num" w:pos="284"/>
      </w:tabs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tabs>
        <w:tab w:val="num" w:pos="2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WW-Caratteredellanota">
    <w:name w:val="WW-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PapertitleCarattere">
    <w:name w:val="Paper title Carattere"/>
    <w:rPr>
      <w:rFonts w:cs="NimbusRomNo9L-Medi"/>
      <w:b/>
      <w:sz w:val="30"/>
      <w:szCs w:val="32"/>
      <w:lang w:val="it-IT" w:eastAsia="ar-SA" w:bidi="ar-SA"/>
    </w:rPr>
  </w:style>
  <w:style w:type="character" w:customStyle="1" w:styleId="AuthorCarattereCarattere">
    <w:name w:val="Author Carattere Carattere"/>
    <w:rPr>
      <w:sz w:val="18"/>
      <w:szCs w:val="18"/>
      <w:lang w:val="it-IT" w:eastAsia="ar-SA" w:bidi="ar-SA"/>
    </w:rPr>
  </w:style>
  <w:style w:type="character" w:customStyle="1" w:styleId="AffiliationCarattere">
    <w:name w:val="Affiliation Carattere"/>
    <w:rPr>
      <w:sz w:val="16"/>
      <w:lang w:val="en-US" w:eastAsia="ar-SA" w:bidi="ar-SA"/>
    </w:rPr>
  </w:style>
  <w:style w:type="character" w:customStyle="1" w:styleId="Keywordsheading">
    <w:name w:val="Keywords heading"/>
    <w:rPr>
      <w:rFonts w:ascii="Garamond" w:hAnsi="Garamond"/>
      <w:b/>
      <w:sz w:val="23"/>
      <w:lang w:val="en-US"/>
    </w:rPr>
  </w:style>
  <w:style w:type="character" w:customStyle="1" w:styleId="KeywordsCarattere">
    <w:name w:val="Keywords Carattere"/>
    <w:rPr>
      <w:rFonts w:ascii="Garamond" w:hAnsi="Garamond"/>
      <w:sz w:val="23"/>
      <w:lang w:val="en-US" w:eastAsia="ar-SA" w:bidi="ar-SA"/>
    </w:rPr>
  </w:style>
  <w:style w:type="character" w:customStyle="1" w:styleId="Stile1">
    <w:name w:val="Stile1"/>
    <w:basedOn w:val="Keywordsheading"/>
    <w:rPr>
      <w:rFonts w:ascii="Garamond" w:hAnsi="Garamond"/>
      <w:b/>
      <w:sz w:val="23"/>
      <w:lang w:val="en-US"/>
    </w:rPr>
  </w:style>
  <w:style w:type="character" w:customStyle="1" w:styleId="CaptionCarattere">
    <w:name w:val="Caption Carattere"/>
    <w:rPr>
      <w:sz w:val="16"/>
      <w:szCs w:val="24"/>
      <w:lang w:val="en-GB" w:eastAsia="ar-SA" w:bidi="ar-SA"/>
    </w:rPr>
  </w:style>
  <w:style w:type="character" w:customStyle="1" w:styleId="MaintextCarattere">
    <w:name w:val="Main text Carattere"/>
    <w:rPr>
      <w:sz w:val="18"/>
      <w:lang w:val="en-GB" w:eastAsia="ar-SA" w:bidi="ar-SA"/>
    </w:rPr>
  </w:style>
  <w:style w:type="character" w:customStyle="1" w:styleId="MaintextfirstlineCarattere">
    <w:name w:val="Main text: first line Carattere"/>
    <w:basedOn w:val="MaintextCarattere"/>
    <w:rPr>
      <w:sz w:val="18"/>
      <w:lang w:val="en-GB" w:eastAsia="ar-SA" w:bidi="ar-SA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SectionHeadingCarattere">
    <w:name w:val="Section Heading Carattere"/>
    <w:rPr>
      <w:b/>
      <w:sz w:val="23"/>
      <w:lang w:val="en-US" w:eastAsia="ar-SA" w:bidi="ar-SA"/>
    </w:rPr>
  </w:style>
  <w:style w:type="character" w:customStyle="1" w:styleId="SubsectionheadingCarattereCarattere">
    <w:name w:val="Subsection heading Carattere Carattere"/>
    <w:rPr>
      <w:b/>
      <w:i/>
      <w:sz w:val="23"/>
      <w:szCs w:val="24"/>
      <w:lang w:val="en-US" w:eastAsia="ar-SA" w:bidi="ar-SA"/>
    </w:rPr>
  </w:style>
  <w:style w:type="character" w:customStyle="1" w:styleId="SubsubsectionheadingCarattereCarattere">
    <w:name w:val="Subsubsection heading Carattere Carattere"/>
    <w:rPr>
      <w:b/>
      <w:i/>
      <w:sz w:val="19"/>
      <w:szCs w:val="24"/>
      <w:lang w:val="it-IT" w:eastAsia="ar-SA" w:bidi="ar-SA"/>
    </w:rPr>
  </w:style>
  <w:style w:type="character" w:styleId="AcronimoHTML">
    <w:name w:val="HTML Acronym"/>
    <w:basedOn w:val="Carpredefinitoparagrafo1"/>
  </w:style>
  <w:style w:type="character" w:styleId="Enfasigrassetto">
    <w:name w:val="Strong"/>
    <w:uiPriority w:val="22"/>
    <w:qFormat/>
    <w:rPr>
      <w:b/>
      <w:bCs/>
    </w:rPr>
  </w:style>
  <w:style w:type="character" w:styleId="Numeropagina">
    <w:name w:val="page number"/>
    <w:basedOn w:val="Carpredefinitoparagrafo1"/>
    <w:semiHidden/>
  </w:style>
  <w:style w:type="character" w:customStyle="1" w:styleId="CaptionCarattere1">
    <w:name w:val="Caption Carattere1"/>
    <w:rPr>
      <w:sz w:val="16"/>
      <w:szCs w:val="24"/>
      <w:lang w:val="en-GB" w:eastAsia="ar-SA" w:bidi="ar-SA"/>
    </w:rPr>
  </w:style>
  <w:style w:type="character" w:customStyle="1" w:styleId="Footnoteanchor">
    <w:name w:val="Footnote anchor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notaapidipagina">
    <w:name w:val="footnote text"/>
    <w:basedOn w:val="Normale"/>
    <w:link w:val="TestonotaapidipaginaCarattere"/>
  </w:style>
  <w:style w:type="paragraph" w:styleId="Testonotadichiusura">
    <w:name w:val="endnote text"/>
    <w:basedOn w:val="Normale"/>
    <w:semiHidden/>
  </w:style>
  <w:style w:type="paragraph" w:customStyle="1" w:styleId="Papertitle">
    <w:name w:val="Paper title"/>
    <w:basedOn w:val="Normale"/>
    <w:next w:val="Author"/>
    <w:pPr>
      <w:spacing w:after="454"/>
    </w:pPr>
    <w:rPr>
      <w:rFonts w:cs="NimbusRomNo9L-Medi"/>
      <w:b/>
      <w:sz w:val="30"/>
      <w:szCs w:val="32"/>
      <w:lang w:val="it-IT"/>
    </w:rPr>
  </w:style>
  <w:style w:type="paragraph" w:customStyle="1" w:styleId="SectionHeading">
    <w:name w:val="Section Heading"/>
    <w:basedOn w:val="Normale"/>
    <w:next w:val="Maintextfirstline"/>
    <w:pPr>
      <w:tabs>
        <w:tab w:val="num" w:pos="284"/>
      </w:tabs>
      <w:spacing w:before="624" w:after="340"/>
    </w:pPr>
    <w:rPr>
      <w:b/>
      <w:sz w:val="24"/>
      <w:lang w:val="en-US"/>
    </w:rPr>
  </w:style>
  <w:style w:type="paragraph" w:customStyle="1" w:styleId="Subsectionheading">
    <w:name w:val="Subsection heading"/>
    <w:basedOn w:val="SectionHeading"/>
    <w:next w:val="Maintextfirstline"/>
    <w:pPr>
      <w:spacing w:after="240"/>
    </w:pPr>
    <w:rPr>
      <w:i/>
      <w:szCs w:val="24"/>
    </w:rPr>
  </w:style>
  <w:style w:type="paragraph" w:customStyle="1" w:styleId="Subsubsectionheading">
    <w:name w:val="Subsubsection heading"/>
    <w:basedOn w:val="Subsectionheading"/>
    <w:pPr>
      <w:spacing w:after="284"/>
    </w:pPr>
    <w:rPr>
      <w:i w:val="0"/>
      <w:sz w:val="19"/>
      <w:szCs w:val="20"/>
      <w:lang w:val="it-IT"/>
    </w:rPr>
  </w:style>
  <w:style w:type="paragraph" w:customStyle="1" w:styleId="Author">
    <w:name w:val="Author"/>
    <w:basedOn w:val="Normale"/>
    <w:next w:val="Affiliation"/>
    <w:pPr>
      <w:spacing w:after="2438"/>
    </w:pPr>
    <w:rPr>
      <w:sz w:val="18"/>
      <w:szCs w:val="18"/>
      <w:lang w:val="it-IT"/>
    </w:rPr>
  </w:style>
  <w:style w:type="paragraph" w:customStyle="1" w:styleId="Affiliation">
    <w:name w:val="Affiliation"/>
    <w:basedOn w:val="Normale"/>
    <w:rPr>
      <w:sz w:val="16"/>
      <w:lang w:val="en-US"/>
    </w:rPr>
  </w:style>
  <w:style w:type="paragraph" w:customStyle="1" w:styleId="Keywords">
    <w:name w:val="Keywords"/>
    <w:basedOn w:val="Normale"/>
    <w:next w:val="SectionHeading"/>
    <w:pPr>
      <w:spacing w:before="240"/>
    </w:pPr>
    <w:rPr>
      <w:rFonts w:ascii="Garamond" w:hAnsi="Garamond"/>
      <w:sz w:val="23"/>
      <w:lang w:val="en-US"/>
    </w:rPr>
  </w:style>
  <w:style w:type="paragraph" w:customStyle="1" w:styleId="References">
    <w:name w:val="References"/>
    <w:basedOn w:val="Normale"/>
    <w:pPr>
      <w:spacing w:before="480" w:after="240"/>
      <w:jc w:val="both"/>
    </w:pPr>
    <w:rPr>
      <w:b/>
      <w:sz w:val="24"/>
      <w:lang w:val="en-US"/>
    </w:rPr>
  </w:style>
  <w:style w:type="paragraph" w:customStyle="1" w:styleId="Maintext">
    <w:name w:val="Main text"/>
    <w:basedOn w:val="Normale"/>
    <w:pPr>
      <w:jc w:val="both"/>
    </w:pPr>
    <w:rPr>
      <w:sz w:val="18"/>
    </w:rPr>
  </w:style>
  <w:style w:type="paragraph" w:customStyle="1" w:styleId="Maintextfirstline">
    <w:name w:val="Main text: first line"/>
    <w:next w:val="Maintext"/>
    <w:pPr>
      <w:suppressAutoHyphens/>
      <w:jc w:val="both"/>
    </w:pPr>
    <w:rPr>
      <w:rFonts w:eastAsia="Arial"/>
      <w:sz w:val="18"/>
      <w:lang w:eastAsia="ar-SA"/>
    </w:rPr>
  </w:style>
  <w:style w:type="paragraph" w:customStyle="1" w:styleId="Didascalia2">
    <w:name w:val="Didascalia2"/>
    <w:basedOn w:val="Normale"/>
    <w:next w:val="Maintextfirstline"/>
    <w:pPr>
      <w:spacing w:after="60"/>
    </w:pPr>
    <w:rPr>
      <w:sz w:val="16"/>
      <w:szCs w:val="24"/>
    </w:rPr>
  </w:style>
  <w:style w:type="paragraph" w:customStyle="1" w:styleId="Footnote">
    <w:name w:val="Footnote"/>
    <w:basedOn w:val="Testonotaapidipagina"/>
    <w:pPr>
      <w:spacing w:line="214" w:lineRule="exact"/>
    </w:pPr>
    <w:rPr>
      <w:rFonts w:ascii="Garamond" w:hAnsi="Garamond"/>
      <w:lang w:val="en-US"/>
    </w:rPr>
  </w:style>
  <w:style w:type="paragraph" w:customStyle="1" w:styleId="Equation">
    <w:name w:val="Equation"/>
    <w:basedOn w:val="Normale"/>
    <w:next w:val="Maintextfirstline"/>
    <w:pPr>
      <w:tabs>
        <w:tab w:val="center" w:pos="4253"/>
        <w:tab w:val="right" w:pos="8505"/>
      </w:tabs>
      <w:spacing w:before="240" w:after="240" w:line="254" w:lineRule="exact"/>
    </w:pPr>
    <w:rPr>
      <w:rFonts w:ascii="Garamond" w:hAnsi="Garamond"/>
      <w:sz w:val="23"/>
    </w:rPr>
  </w:style>
  <w:style w:type="paragraph" w:customStyle="1" w:styleId="Referenceslist">
    <w:name w:val="References list"/>
    <w:basedOn w:val="Maintextfirstline"/>
    <w:pPr>
      <w:numPr>
        <w:numId w:val="1"/>
      </w:numPr>
      <w:ind w:left="0" w:firstLine="0"/>
    </w:pPr>
    <w:rPr>
      <w:sz w:val="16"/>
      <w:lang w:val="en-US"/>
    </w:rPr>
  </w:style>
  <w:style w:type="paragraph" w:customStyle="1" w:styleId="Riassunto">
    <w:name w:val="Riassunto"/>
    <w:basedOn w:val="Maintext"/>
    <w:next w:val="Keywords"/>
    <w:pPr>
      <w:spacing w:before="480"/>
    </w:pPr>
    <w:rPr>
      <w:lang w:val="it-IT"/>
    </w:rPr>
  </w:style>
  <w:style w:type="paragraph" w:customStyle="1" w:styleId="ParagraphHeading">
    <w:name w:val="Paragraph Heading"/>
    <w:basedOn w:val="Maintext"/>
  </w:style>
  <w:style w:type="paragraph" w:customStyle="1" w:styleId="Subparagraphheading">
    <w:name w:val="Subparagraph heading"/>
    <w:basedOn w:val="Maintext"/>
    <w:rPr>
      <w:i/>
    </w:rPr>
  </w:style>
  <w:style w:type="paragraph" w:customStyle="1" w:styleId="Stile2">
    <w:name w:val="Stile2"/>
    <w:basedOn w:val="Maintextfirstline"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B4A50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val="it-IT" w:eastAsia="en-US"/>
    </w:rPr>
  </w:style>
  <w:style w:type="character" w:customStyle="1" w:styleId="apple-converted-space">
    <w:name w:val="apple-converted-space"/>
    <w:rsid w:val="00CA4B27"/>
  </w:style>
  <w:style w:type="character" w:customStyle="1" w:styleId="TestonotaapidipaginaCarattere">
    <w:name w:val="Testo nota a piè di pagina Carattere"/>
    <w:link w:val="Testonotaapidipagina"/>
    <w:rsid w:val="00402AF1"/>
    <w:rPr>
      <w:lang w:eastAsia="ar-SA"/>
    </w:rPr>
  </w:style>
  <w:style w:type="paragraph" w:customStyle="1" w:styleId="Testo">
    <w:name w:val="Testo"/>
    <w:basedOn w:val="Normale"/>
    <w:rsid w:val="00EE4401"/>
    <w:pPr>
      <w:suppressAutoHyphens w:val="0"/>
      <w:spacing w:line="240" w:lineRule="atLeast"/>
      <w:ind w:firstLine="284"/>
      <w:jc w:val="both"/>
    </w:pPr>
    <w:rPr>
      <w:rFonts w:ascii="Garamond" w:hAnsi="Garamond"/>
      <w:sz w:val="2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5E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3A37"/>
    <w:pPr>
      <w:keepLines/>
    </w:pPr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3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3696"/>
    <w:pPr>
      <w:suppressAutoHyphens w:val="0"/>
      <w:spacing w:after="160"/>
    </w:pPr>
    <w:rPr>
      <w:rFonts w:ascii="Tahoma" w:eastAsiaTheme="minorHAnsi" w:hAnsi="Tahoma" w:cs="Tahoma"/>
      <w:color w:val="000000"/>
      <w:sz w:val="16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3696"/>
    <w:rPr>
      <w:rFonts w:ascii="Tahoma" w:eastAsiaTheme="minorHAnsi" w:hAnsi="Tahoma" w:cs="Tahoma"/>
      <w:color w:val="000000"/>
      <w:sz w:val="1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6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696"/>
    <w:rPr>
      <w:rFonts w:ascii="Segoe UI" w:hAnsi="Segoe UI" w:cs="Segoe UI"/>
      <w:sz w:val="18"/>
      <w:szCs w:val="1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3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3987"/>
    <w:rPr>
      <w:rFonts w:ascii="Courier New" w:hAnsi="Courier New" w:cs="Courier New"/>
    </w:rPr>
  </w:style>
  <w:style w:type="paragraph" w:customStyle="1" w:styleId="Didascalia3">
    <w:name w:val="Didascalia3"/>
    <w:basedOn w:val="Normale"/>
    <w:next w:val="Maintextfirstline"/>
    <w:rsid w:val="00DE1F99"/>
    <w:pPr>
      <w:spacing w:after="60"/>
    </w:pPr>
    <w:rPr>
      <w:sz w:val="16"/>
      <w:szCs w:val="24"/>
    </w:rPr>
  </w:style>
  <w:style w:type="character" w:styleId="Testosegnaposto">
    <w:name w:val="Placeholder Text"/>
    <w:basedOn w:val="Carpredefinitoparagrafo"/>
    <w:uiPriority w:val="99"/>
    <w:semiHidden/>
    <w:rsid w:val="00E1699C"/>
    <w:rPr>
      <w:color w:val="808080"/>
    </w:rPr>
  </w:style>
  <w:style w:type="paragraph" w:customStyle="1" w:styleId="Didascalia4">
    <w:name w:val="Didascalia4"/>
    <w:basedOn w:val="Normale"/>
    <w:next w:val="Maintextfirstline"/>
    <w:rsid w:val="008E4876"/>
    <w:pPr>
      <w:spacing w:after="60"/>
    </w:pPr>
    <w:rPr>
      <w:sz w:val="16"/>
      <w:szCs w:val="24"/>
    </w:rPr>
  </w:style>
  <w:style w:type="character" w:styleId="Enfasicorsivo">
    <w:name w:val="Emphasis"/>
    <w:basedOn w:val="Carpredefinitoparagrafo"/>
    <w:uiPriority w:val="20"/>
    <w:qFormat/>
    <w:rsid w:val="00894782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654B2"/>
    <w:rPr>
      <w:color w:val="808080"/>
      <w:shd w:val="clear" w:color="auto" w:fill="E6E6E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4EBF"/>
    <w:pPr>
      <w:suppressAutoHyphens/>
      <w:spacing w:after="0"/>
    </w:pPr>
    <w:rPr>
      <w:rFonts w:ascii="Times New Roman" w:eastAsia="Times New Roman" w:hAnsi="Times New Roman" w:cs="Times New Roman"/>
      <w:b/>
      <w:bCs/>
      <w:color w:val="auto"/>
      <w:sz w:val="20"/>
      <w:lang w:val="en-GB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4EBF"/>
    <w:rPr>
      <w:rFonts w:ascii="Tahoma" w:eastAsiaTheme="minorHAnsi" w:hAnsi="Tahoma" w:cs="Tahoma"/>
      <w:b/>
      <w:bCs/>
      <w:color w:val="000000"/>
      <w:sz w:val="16"/>
      <w:lang w:val="en-US" w:eastAsia="ar-SA"/>
    </w:rPr>
  </w:style>
  <w:style w:type="paragraph" w:styleId="Revisione">
    <w:name w:val="Revision"/>
    <w:hidden/>
    <w:uiPriority w:val="99"/>
    <w:semiHidden/>
    <w:rsid w:val="00FF616C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2B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numId w:val="3"/>
      </w:numPr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tabs>
        <w:tab w:val="num" w:pos="284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tabs>
        <w:tab w:val="num" w:pos="284"/>
      </w:tabs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tabs>
        <w:tab w:val="num" w:pos="284"/>
      </w:tabs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tabs>
        <w:tab w:val="num" w:pos="284"/>
      </w:tabs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tabs>
        <w:tab w:val="num" w:pos="2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WW-Caratteredellanota">
    <w:name w:val="WW-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PapertitleCarattere">
    <w:name w:val="Paper title Carattere"/>
    <w:rPr>
      <w:rFonts w:cs="NimbusRomNo9L-Medi"/>
      <w:b/>
      <w:sz w:val="30"/>
      <w:szCs w:val="32"/>
      <w:lang w:val="it-IT" w:eastAsia="ar-SA" w:bidi="ar-SA"/>
    </w:rPr>
  </w:style>
  <w:style w:type="character" w:customStyle="1" w:styleId="AuthorCarattereCarattere">
    <w:name w:val="Author Carattere Carattere"/>
    <w:rPr>
      <w:sz w:val="18"/>
      <w:szCs w:val="18"/>
      <w:lang w:val="it-IT" w:eastAsia="ar-SA" w:bidi="ar-SA"/>
    </w:rPr>
  </w:style>
  <w:style w:type="character" w:customStyle="1" w:styleId="AffiliationCarattere">
    <w:name w:val="Affiliation Carattere"/>
    <w:rPr>
      <w:sz w:val="16"/>
      <w:lang w:val="en-US" w:eastAsia="ar-SA" w:bidi="ar-SA"/>
    </w:rPr>
  </w:style>
  <w:style w:type="character" w:customStyle="1" w:styleId="Keywordsheading">
    <w:name w:val="Keywords heading"/>
    <w:rPr>
      <w:rFonts w:ascii="Garamond" w:hAnsi="Garamond"/>
      <w:b/>
      <w:sz w:val="23"/>
      <w:lang w:val="en-US"/>
    </w:rPr>
  </w:style>
  <w:style w:type="character" w:customStyle="1" w:styleId="KeywordsCarattere">
    <w:name w:val="Keywords Carattere"/>
    <w:rPr>
      <w:rFonts w:ascii="Garamond" w:hAnsi="Garamond"/>
      <w:sz w:val="23"/>
      <w:lang w:val="en-US" w:eastAsia="ar-SA" w:bidi="ar-SA"/>
    </w:rPr>
  </w:style>
  <w:style w:type="character" w:customStyle="1" w:styleId="Stile1">
    <w:name w:val="Stile1"/>
    <w:basedOn w:val="Keywordsheading"/>
    <w:rPr>
      <w:rFonts w:ascii="Garamond" w:hAnsi="Garamond"/>
      <w:b/>
      <w:sz w:val="23"/>
      <w:lang w:val="en-US"/>
    </w:rPr>
  </w:style>
  <w:style w:type="character" w:customStyle="1" w:styleId="CaptionCarattere">
    <w:name w:val="Caption Carattere"/>
    <w:rPr>
      <w:sz w:val="16"/>
      <w:szCs w:val="24"/>
      <w:lang w:val="en-GB" w:eastAsia="ar-SA" w:bidi="ar-SA"/>
    </w:rPr>
  </w:style>
  <w:style w:type="character" w:customStyle="1" w:styleId="MaintextCarattere">
    <w:name w:val="Main text Carattere"/>
    <w:rPr>
      <w:sz w:val="18"/>
      <w:lang w:val="en-GB" w:eastAsia="ar-SA" w:bidi="ar-SA"/>
    </w:rPr>
  </w:style>
  <w:style w:type="character" w:customStyle="1" w:styleId="MaintextfirstlineCarattere">
    <w:name w:val="Main text: first line Carattere"/>
    <w:basedOn w:val="MaintextCarattere"/>
    <w:rPr>
      <w:sz w:val="18"/>
      <w:lang w:val="en-GB" w:eastAsia="ar-SA" w:bidi="ar-SA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SectionHeadingCarattere">
    <w:name w:val="Section Heading Carattere"/>
    <w:rPr>
      <w:b/>
      <w:sz w:val="23"/>
      <w:lang w:val="en-US" w:eastAsia="ar-SA" w:bidi="ar-SA"/>
    </w:rPr>
  </w:style>
  <w:style w:type="character" w:customStyle="1" w:styleId="SubsectionheadingCarattereCarattere">
    <w:name w:val="Subsection heading Carattere Carattere"/>
    <w:rPr>
      <w:b/>
      <w:i/>
      <w:sz w:val="23"/>
      <w:szCs w:val="24"/>
      <w:lang w:val="en-US" w:eastAsia="ar-SA" w:bidi="ar-SA"/>
    </w:rPr>
  </w:style>
  <w:style w:type="character" w:customStyle="1" w:styleId="SubsubsectionheadingCarattereCarattere">
    <w:name w:val="Subsubsection heading Carattere Carattere"/>
    <w:rPr>
      <w:b/>
      <w:i/>
      <w:sz w:val="19"/>
      <w:szCs w:val="24"/>
      <w:lang w:val="it-IT" w:eastAsia="ar-SA" w:bidi="ar-SA"/>
    </w:rPr>
  </w:style>
  <w:style w:type="character" w:styleId="AcronimoHTML">
    <w:name w:val="HTML Acronym"/>
    <w:basedOn w:val="Carpredefinitoparagrafo1"/>
  </w:style>
  <w:style w:type="character" w:styleId="Enfasigrassetto">
    <w:name w:val="Strong"/>
    <w:uiPriority w:val="22"/>
    <w:qFormat/>
    <w:rPr>
      <w:b/>
      <w:bCs/>
    </w:rPr>
  </w:style>
  <w:style w:type="character" w:styleId="Numeropagina">
    <w:name w:val="page number"/>
    <w:basedOn w:val="Carpredefinitoparagrafo1"/>
    <w:semiHidden/>
  </w:style>
  <w:style w:type="character" w:customStyle="1" w:styleId="CaptionCarattere1">
    <w:name w:val="Caption Carattere1"/>
    <w:rPr>
      <w:sz w:val="16"/>
      <w:szCs w:val="24"/>
      <w:lang w:val="en-GB" w:eastAsia="ar-SA" w:bidi="ar-SA"/>
    </w:rPr>
  </w:style>
  <w:style w:type="character" w:customStyle="1" w:styleId="Footnoteanchor">
    <w:name w:val="Footnote anchor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notaapidipagina">
    <w:name w:val="footnote text"/>
    <w:basedOn w:val="Normale"/>
    <w:link w:val="TestonotaapidipaginaCarattere"/>
  </w:style>
  <w:style w:type="paragraph" w:styleId="Testonotadichiusura">
    <w:name w:val="endnote text"/>
    <w:basedOn w:val="Normale"/>
    <w:semiHidden/>
  </w:style>
  <w:style w:type="paragraph" w:customStyle="1" w:styleId="Papertitle">
    <w:name w:val="Paper title"/>
    <w:basedOn w:val="Normale"/>
    <w:next w:val="Author"/>
    <w:pPr>
      <w:spacing w:after="454"/>
    </w:pPr>
    <w:rPr>
      <w:rFonts w:cs="NimbusRomNo9L-Medi"/>
      <w:b/>
      <w:sz w:val="30"/>
      <w:szCs w:val="32"/>
      <w:lang w:val="it-IT"/>
    </w:rPr>
  </w:style>
  <w:style w:type="paragraph" w:customStyle="1" w:styleId="SectionHeading">
    <w:name w:val="Section Heading"/>
    <w:basedOn w:val="Normale"/>
    <w:next w:val="Maintextfirstline"/>
    <w:pPr>
      <w:tabs>
        <w:tab w:val="num" w:pos="284"/>
      </w:tabs>
      <w:spacing w:before="624" w:after="340"/>
    </w:pPr>
    <w:rPr>
      <w:b/>
      <w:sz w:val="24"/>
      <w:lang w:val="en-US"/>
    </w:rPr>
  </w:style>
  <w:style w:type="paragraph" w:customStyle="1" w:styleId="Subsectionheading">
    <w:name w:val="Subsection heading"/>
    <w:basedOn w:val="SectionHeading"/>
    <w:next w:val="Maintextfirstline"/>
    <w:pPr>
      <w:spacing w:after="240"/>
    </w:pPr>
    <w:rPr>
      <w:i/>
      <w:szCs w:val="24"/>
    </w:rPr>
  </w:style>
  <w:style w:type="paragraph" w:customStyle="1" w:styleId="Subsubsectionheading">
    <w:name w:val="Subsubsection heading"/>
    <w:basedOn w:val="Subsectionheading"/>
    <w:pPr>
      <w:spacing w:after="284"/>
    </w:pPr>
    <w:rPr>
      <w:i w:val="0"/>
      <w:sz w:val="19"/>
      <w:szCs w:val="20"/>
      <w:lang w:val="it-IT"/>
    </w:rPr>
  </w:style>
  <w:style w:type="paragraph" w:customStyle="1" w:styleId="Author">
    <w:name w:val="Author"/>
    <w:basedOn w:val="Normale"/>
    <w:next w:val="Affiliation"/>
    <w:pPr>
      <w:spacing w:after="2438"/>
    </w:pPr>
    <w:rPr>
      <w:sz w:val="18"/>
      <w:szCs w:val="18"/>
      <w:lang w:val="it-IT"/>
    </w:rPr>
  </w:style>
  <w:style w:type="paragraph" w:customStyle="1" w:styleId="Affiliation">
    <w:name w:val="Affiliation"/>
    <w:basedOn w:val="Normale"/>
    <w:rPr>
      <w:sz w:val="16"/>
      <w:lang w:val="en-US"/>
    </w:rPr>
  </w:style>
  <w:style w:type="paragraph" w:customStyle="1" w:styleId="Keywords">
    <w:name w:val="Keywords"/>
    <w:basedOn w:val="Normale"/>
    <w:next w:val="SectionHeading"/>
    <w:pPr>
      <w:spacing w:before="240"/>
    </w:pPr>
    <w:rPr>
      <w:rFonts w:ascii="Garamond" w:hAnsi="Garamond"/>
      <w:sz w:val="23"/>
      <w:lang w:val="en-US"/>
    </w:rPr>
  </w:style>
  <w:style w:type="paragraph" w:customStyle="1" w:styleId="References">
    <w:name w:val="References"/>
    <w:basedOn w:val="Normale"/>
    <w:pPr>
      <w:spacing w:before="480" w:after="240"/>
      <w:jc w:val="both"/>
    </w:pPr>
    <w:rPr>
      <w:b/>
      <w:sz w:val="24"/>
      <w:lang w:val="en-US"/>
    </w:rPr>
  </w:style>
  <w:style w:type="paragraph" w:customStyle="1" w:styleId="Maintext">
    <w:name w:val="Main text"/>
    <w:basedOn w:val="Normale"/>
    <w:pPr>
      <w:jc w:val="both"/>
    </w:pPr>
    <w:rPr>
      <w:sz w:val="18"/>
    </w:rPr>
  </w:style>
  <w:style w:type="paragraph" w:customStyle="1" w:styleId="Maintextfirstline">
    <w:name w:val="Main text: first line"/>
    <w:next w:val="Maintext"/>
    <w:pPr>
      <w:suppressAutoHyphens/>
      <w:jc w:val="both"/>
    </w:pPr>
    <w:rPr>
      <w:rFonts w:eastAsia="Arial"/>
      <w:sz w:val="18"/>
      <w:lang w:eastAsia="ar-SA"/>
    </w:rPr>
  </w:style>
  <w:style w:type="paragraph" w:customStyle="1" w:styleId="Didascalia2">
    <w:name w:val="Didascalia2"/>
    <w:basedOn w:val="Normale"/>
    <w:next w:val="Maintextfirstline"/>
    <w:pPr>
      <w:spacing w:after="60"/>
    </w:pPr>
    <w:rPr>
      <w:sz w:val="16"/>
      <w:szCs w:val="24"/>
    </w:rPr>
  </w:style>
  <w:style w:type="paragraph" w:customStyle="1" w:styleId="Footnote">
    <w:name w:val="Footnote"/>
    <w:basedOn w:val="Testonotaapidipagina"/>
    <w:pPr>
      <w:spacing w:line="214" w:lineRule="exact"/>
    </w:pPr>
    <w:rPr>
      <w:rFonts w:ascii="Garamond" w:hAnsi="Garamond"/>
      <w:lang w:val="en-US"/>
    </w:rPr>
  </w:style>
  <w:style w:type="paragraph" w:customStyle="1" w:styleId="Equation">
    <w:name w:val="Equation"/>
    <w:basedOn w:val="Normale"/>
    <w:next w:val="Maintextfirstline"/>
    <w:pPr>
      <w:tabs>
        <w:tab w:val="center" w:pos="4253"/>
        <w:tab w:val="right" w:pos="8505"/>
      </w:tabs>
      <w:spacing w:before="240" w:after="240" w:line="254" w:lineRule="exact"/>
    </w:pPr>
    <w:rPr>
      <w:rFonts w:ascii="Garamond" w:hAnsi="Garamond"/>
      <w:sz w:val="23"/>
    </w:rPr>
  </w:style>
  <w:style w:type="paragraph" w:customStyle="1" w:styleId="Referenceslist">
    <w:name w:val="References list"/>
    <w:basedOn w:val="Maintextfirstline"/>
    <w:pPr>
      <w:numPr>
        <w:numId w:val="1"/>
      </w:numPr>
      <w:ind w:left="0" w:firstLine="0"/>
    </w:pPr>
    <w:rPr>
      <w:sz w:val="16"/>
      <w:lang w:val="en-US"/>
    </w:rPr>
  </w:style>
  <w:style w:type="paragraph" w:customStyle="1" w:styleId="Riassunto">
    <w:name w:val="Riassunto"/>
    <w:basedOn w:val="Maintext"/>
    <w:next w:val="Keywords"/>
    <w:pPr>
      <w:spacing w:before="480"/>
    </w:pPr>
    <w:rPr>
      <w:lang w:val="it-IT"/>
    </w:rPr>
  </w:style>
  <w:style w:type="paragraph" w:customStyle="1" w:styleId="ParagraphHeading">
    <w:name w:val="Paragraph Heading"/>
    <w:basedOn w:val="Maintext"/>
  </w:style>
  <w:style w:type="paragraph" w:customStyle="1" w:styleId="Subparagraphheading">
    <w:name w:val="Subparagraph heading"/>
    <w:basedOn w:val="Maintext"/>
    <w:rPr>
      <w:i/>
    </w:rPr>
  </w:style>
  <w:style w:type="paragraph" w:customStyle="1" w:styleId="Stile2">
    <w:name w:val="Stile2"/>
    <w:basedOn w:val="Maintextfirstline"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B4A50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val="it-IT" w:eastAsia="en-US"/>
    </w:rPr>
  </w:style>
  <w:style w:type="character" w:customStyle="1" w:styleId="apple-converted-space">
    <w:name w:val="apple-converted-space"/>
    <w:rsid w:val="00CA4B27"/>
  </w:style>
  <w:style w:type="character" w:customStyle="1" w:styleId="TestonotaapidipaginaCarattere">
    <w:name w:val="Testo nota a piè di pagina Carattere"/>
    <w:link w:val="Testonotaapidipagina"/>
    <w:rsid w:val="00402AF1"/>
    <w:rPr>
      <w:lang w:eastAsia="ar-SA"/>
    </w:rPr>
  </w:style>
  <w:style w:type="paragraph" w:customStyle="1" w:styleId="Testo">
    <w:name w:val="Testo"/>
    <w:basedOn w:val="Normale"/>
    <w:rsid w:val="00EE4401"/>
    <w:pPr>
      <w:suppressAutoHyphens w:val="0"/>
      <w:spacing w:line="240" w:lineRule="atLeast"/>
      <w:ind w:firstLine="284"/>
      <w:jc w:val="both"/>
    </w:pPr>
    <w:rPr>
      <w:rFonts w:ascii="Garamond" w:hAnsi="Garamond"/>
      <w:sz w:val="2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5E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3A37"/>
    <w:pPr>
      <w:keepLines/>
    </w:pPr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3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3696"/>
    <w:pPr>
      <w:suppressAutoHyphens w:val="0"/>
      <w:spacing w:after="160"/>
    </w:pPr>
    <w:rPr>
      <w:rFonts w:ascii="Tahoma" w:eastAsiaTheme="minorHAnsi" w:hAnsi="Tahoma" w:cs="Tahoma"/>
      <w:color w:val="000000"/>
      <w:sz w:val="16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3696"/>
    <w:rPr>
      <w:rFonts w:ascii="Tahoma" w:eastAsiaTheme="minorHAnsi" w:hAnsi="Tahoma" w:cs="Tahoma"/>
      <w:color w:val="000000"/>
      <w:sz w:val="1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6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696"/>
    <w:rPr>
      <w:rFonts w:ascii="Segoe UI" w:hAnsi="Segoe UI" w:cs="Segoe UI"/>
      <w:sz w:val="18"/>
      <w:szCs w:val="1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3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3987"/>
    <w:rPr>
      <w:rFonts w:ascii="Courier New" w:hAnsi="Courier New" w:cs="Courier New"/>
    </w:rPr>
  </w:style>
  <w:style w:type="paragraph" w:customStyle="1" w:styleId="Didascalia3">
    <w:name w:val="Didascalia3"/>
    <w:basedOn w:val="Normale"/>
    <w:next w:val="Maintextfirstline"/>
    <w:rsid w:val="00DE1F99"/>
    <w:pPr>
      <w:spacing w:after="60"/>
    </w:pPr>
    <w:rPr>
      <w:sz w:val="16"/>
      <w:szCs w:val="24"/>
    </w:rPr>
  </w:style>
  <w:style w:type="character" w:styleId="Testosegnaposto">
    <w:name w:val="Placeholder Text"/>
    <w:basedOn w:val="Carpredefinitoparagrafo"/>
    <w:uiPriority w:val="99"/>
    <w:semiHidden/>
    <w:rsid w:val="00E1699C"/>
    <w:rPr>
      <w:color w:val="808080"/>
    </w:rPr>
  </w:style>
  <w:style w:type="paragraph" w:customStyle="1" w:styleId="Didascalia4">
    <w:name w:val="Didascalia4"/>
    <w:basedOn w:val="Normale"/>
    <w:next w:val="Maintextfirstline"/>
    <w:rsid w:val="008E4876"/>
    <w:pPr>
      <w:spacing w:after="60"/>
    </w:pPr>
    <w:rPr>
      <w:sz w:val="16"/>
      <w:szCs w:val="24"/>
    </w:rPr>
  </w:style>
  <w:style w:type="character" w:styleId="Enfasicorsivo">
    <w:name w:val="Emphasis"/>
    <w:basedOn w:val="Carpredefinitoparagrafo"/>
    <w:uiPriority w:val="20"/>
    <w:qFormat/>
    <w:rsid w:val="00894782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654B2"/>
    <w:rPr>
      <w:color w:val="808080"/>
      <w:shd w:val="clear" w:color="auto" w:fill="E6E6E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4EBF"/>
    <w:pPr>
      <w:suppressAutoHyphens/>
      <w:spacing w:after="0"/>
    </w:pPr>
    <w:rPr>
      <w:rFonts w:ascii="Times New Roman" w:eastAsia="Times New Roman" w:hAnsi="Times New Roman" w:cs="Times New Roman"/>
      <w:b/>
      <w:bCs/>
      <w:color w:val="auto"/>
      <w:sz w:val="20"/>
      <w:lang w:val="en-GB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4EBF"/>
    <w:rPr>
      <w:rFonts w:ascii="Tahoma" w:eastAsiaTheme="minorHAnsi" w:hAnsi="Tahoma" w:cs="Tahoma"/>
      <w:b/>
      <w:bCs/>
      <w:color w:val="000000"/>
      <w:sz w:val="16"/>
      <w:lang w:val="en-US" w:eastAsia="ar-SA"/>
    </w:rPr>
  </w:style>
  <w:style w:type="paragraph" w:styleId="Revisione">
    <w:name w:val="Revision"/>
    <w:hidden/>
    <w:uiPriority w:val="99"/>
    <w:semiHidden/>
    <w:rsid w:val="00FF616C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2B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context.reverso.net/traduzione/inglese-italiano/mismanageme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urostat/statistics-explained/index.php?title=Glossary:Persons_living_in_households_with_low_work_intensity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c.europa.eu/eurostat/statistics-explained/index.php?title=Glossary:Severe_material_deprivation_rat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statistics-explained/index.php?title=Glossary:Social_transfers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.ciommi@univp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23BD-D5AC-48CA-BECB-1633D39F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 2008 contributed paper format</vt:lpstr>
    </vt:vector>
  </TitlesOfParts>
  <Company>Hewlett-Packard</Company>
  <LinksUpToDate>false</LinksUpToDate>
  <CharactersWithSpaces>21068</CharactersWithSpaces>
  <SharedDoc>false</SharedDoc>
  <HLinks>
    <vt:vector size="6" baseType="variant">
      <vt:variant>
        <vt:i4>3276875</vt:i4>
      </vt:variant>
      <vt:variant>
        <vt:i4>0</vt:i4>
      </vt:variant>
      <vt:variant>
        <vt:i4>0</vt:i4>
      </vt:variant>
      <vt:variant>
        <vt:i4>5</vt:i4>
      </vt:variant>
      <vt:variant>
        <vt:lpwstr>mailto:m.ciommi@univpm.it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 2008 contributed paper format</dc:title>
  <dc:creator>Referee1</dc:creator>
  <cp:lastModifiedBy>Gennaro</cp:lastModifiedBy>
  <cp:revision>12</cp:revision>
  <cp:lastPrinted>2018-04-27T12:06:00Z</cp:lastPrinted>
  <dcterms:created xsi:type="dcterms:W3CDTF">2018-04-27T12:03:00Z</dcterms:created>
  <dcterms:modified xsi:type="dcterms:W3CDTF">2018-05-02T14:29:00Z</dcterms:modified>
</cp:coreProperties>
</file>