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DC" w:rsidRPr="00AB54F1" w:rsidRDefault="006D0CAF" w:rsidP="00AB54F1">
      <w:pPr>
        <w:pStyle w:val="Papertitle"/>
        <w:spacing w:after="60"/>
        <w:rPr>
          <w:sz w:val="32"/>
          <w:lang w:val="en-GB"/>
        </w:rPr>
      </w:pPr>
      <w:bookmarkStart w:id="0" w:name="_GoBack"/>
      <w:bookmarkEnd w:id="0"/>
      <w:r>
        <w:rPr>
          <w:sz w:val="32"/>
          <w:lang w:val="en-GB"/>
        </w:rPr>
        <w:t xml:space="preserve">What Shapes Population </w:t>
      </w:r>
      <w:r w:rsidR="00E87ACC">
        <w:rPr>
          <w:sz w:val="32"/>
          <w:lang w:val="en-GB"/>
        </w:rPr>
        <w:t>Age Structure</w:t>
      </w:r>
      <w:r>
        <w:rPr>
          <w:sz w:val="32"/>
          <w:lang w:val="en-GB"/>
        </w:rPr>
        <w:t xml:space="preserve">s in the </w:t>
      </w:r>
      <w:proofErr w:type="gramStart"/>
      <w:r>
        <w:rPr>
          <w:sz w:val="32"/>
          <w:lang w:val="en-GB"/>
        </w:rPr>
        <w:t>Long Run</w:t>
      </w:r>
      <w:proofErr w:type="gramEnd"/>
    </w:p>
    <w:p w:rsidR="00AB54F1" w:rsidRPr="00E87ACC" w:rsidRDefault="00E87ACC" w:rsidP="004B0FC2">
      <w:pPr>
        <w:pStyle w:val="Papertitle"/>
        <w:spacing w:after="240" w:line="360" w:lineRule="auto"/>
        <w:rPr>
          <w:i/>
          <w:sz w:val="28"/>
        </w:rPr>
      </w:pPr>
      <w:r w:rsidRPr="00E87ACC">
        <w:rPr>
          <w:i/>
          <w:sz w:val="28"/>
        </w:rPr>
        <w:t xml:space="preserve">Verso dove </w:t>
      </w:r>
      <w:r w:rsidR="001E7F91">
        <w:rPr>
          <w:i/>
          <w:sz w:val="28"/>
        </w:rPr>
        <w:t>tende</w:t>
      </w:r>
      <w:r w:rsidRPr="00E87ACC">
        <w:rPr>
          <w:i/>
          <w:sz w:val="28"/>
        </w:rPr>
        <w:t xml:space="preserve"> la struttura </w:t>
      </w:r>
      <w:r>
        <w:rPr>
          <w:i/>
          <w:sz w:val="28"/>
        </w:rPr>
        <w:t>p</w:t>
      </w:r>
      <w:r w:rsidRPr="00E87ACC">
        <w:rPr>
          <w:i/>
          <w:sz w:val="28"/>
        </w:rPr>
        <w:t xml:space="preserve">er </w:t>
      </w:r>
      <w:r>
        <w:rPr>
          <w:i/>
          <w:sz w:val="28"/>
        </w:rPr>
        <w:t>età corrente</w:t>
      </w:r>
    </w:p>
    <w:p w:rsidR="00A149DC" w:rsidRPr="00E87ACC" w:rsidRDefault="00E87ACC" w:rsidP="005D19F1">
      <w:pPr>
        <w:pStyle w:val="Author"/>
        <w:spacing w:after="2160"/>
        <w:rPr>
          <w:b/>
          <w:bCs/>
          <w:sz w:val="20"/>
          <w:szCs w:val="20"/>
        </w:rPr>
      </w:pPr>
      <w:r w:rsidRPr="00E87ACC">
        <w:rPr>
          <w:sz w:val="20"/>
          <w:szCs w:val="20"/>
        </w:rPr>
        <w:t xml:space="preserve">Gustavo De </w:t>
      </w:r>
      <w:proofErr w:type="spellStart"/>
      <w:r w:rsidRPr="00E87ACC">
        <w:rPr>
          <w:sz w:val="20"/>
          <w:szCs w:val="20"/>
        </w:rPr>
        <w:t>Santis</w:t>
      </w:r>
      <w:proofErr w:type="spellEnd"/>
      <w:r w:rsidRPr="00E87ACC">
        <w:rPr>
          <w:sz w:val="20"/>
          <w:szCs w:val="20"/>
        </w:rPr>
        <w:t xml:space="preserve"> </w:t>
      </w:r>
      <w:r w:rsidR="00A149DC" w:rsidRPr="00E87ACC">
        <w:rPr>
          <w:sz w:val="20"/>
          <w:szCs w:val="20"/>
        </w:rPr>
        <w:t xml:space="preserve">and </w:t>
      </w:r>
      <w:r w:rsidRPr="00E87ACC">
        <w:rPr>
          <w:sz w:val="20"/>
          <w:szCs w:val="20"/>
        </w:rPr>
        <w:t>Giambattista Salinari</w:t>
      </w:r>
      <w:r w:rsidR="00A149DC" w:rsidRPr="009D0E2A">
        <w:rPr>
          <w:rStyle w:val="WW-Caratteredellanota"/>
          <w:vanish/>
          <w:sz w:val="20"/>
          <w:szCs w:val="20"/>
          <w:lang w:val="en-US"/>
        </w:rPr>
        <w:footnoteReference w:id="1"/>
      </w:r>
    </w:p>
    <w:p w:rsidR="00A149DC" w:rsidRDefault="00A149DC">
      <w:pPr>
        <w:pStyle w:val="Maintext"/>
        <w:rPr>
          <w:sz w:val="20"/>
        </w:rPr>
      </w:pPr>
      <w:r w:rsidRPr="009D0E2A">
        <w:rPr>
          <w:b/>
          <w:bCs/>
          <w:sz w:val="20"/>
        </w:rPr>
        <w:t>Abstract</w:t>
      </w:r>
      <w:r w:rsidR="009C19FC">
        <w:rPr>
          <w:b/>
          <w:bCs/>
          <w:sz w:val="20"/>
        </w:rPr>
        <w:t xml:space="preserve"> </w:t>
      </w:r>
      <w:r w:rsidR="00E87ACC">
        <w:rPr>
          <w:sz w:val="20"/>
        </w:rPr>
        <w:t>W</w:t>
      </w:r>
      <w:r w:rsidR="00E87ACC" w:rsidRPr="00E87ACC">
        <w:rPr>
          <w:sz w:val="20"/>
        </w:rPr>
        <w:t xml:space="preserve">e </w:t>
      </w:r>
      <w:r w:rsidR="002E13E2">
        <w:rPr>
          <w:sz w:val="20"/>
        </w:rPr>
        <w:t xml:space="preserve">present and test a hypothesis </w:t>
      </w:r>
      <w:r w:rsidR="00DD4404">
        <w:rPr>
          <w:sz w:val="20"/>
        </w:rPr>
        <w:t>that</w:t>
      </w:r>
      <w:r w:rsidR="002E13E2">
        <w:rPr>
          <w:sz w:val="20"/>
        </w:rPr>
        <w:t xml:space="preserve">, to the best of our knowledge, is new in the demographic field: </w:t>
      </w:r>
      <w:r w:rsidR="00E87ACC" w:rsidRPr="00E87ACC">
        <w:rPr>
          <w:sz w:val="20"/>
        </w:rPr>
        <w:t xml:space="preserve">the age structure of any population in any period tends towards a specific shape, which </w:t>
      </w:r>
      <w:proofErr w:type="gramStart"/>
      <w:r w:rsidR="00E87ACC">
        <w:rPr>
          <w:sz w:val="20"/>
        </w:rPr>
        <w:t>can be identified</w:t>
      </w:r>
      <w:proofErr w:type="gramEnd"/>
      <w:r w:rsidR="00E87ACC">
        <w:rPr>
          <w:sz w:val="20"/>
        </w:rPr>
        <w:t xml:space="preserve"> in advance</w:t>
      </w:r>
      <w:r w:rsidR="002E13E2">
        <w:rPr>
          <w:sz w:val="20"/>
        </w:rPr>
        <w:t>.</w:t>
      </w:r>
      <w:r w:rsidR="00E87ACC">
        <w:rPr>
          <w:sz w:val="20"/>
        </w:rPr>
        <w:t xml:space="preserve"> </w:t>
      </w:r>
      <w:r w:rsidR="002E13E2">
        <w:rPr>
          <w:sz w:val="20"/>
        </w:rPr>
        <w:t xml:space="preserve">This “attractor” </w:t>
      </w:r>
      <w:r w:rsidR="00E87ACC" w:rsidRPr="00E87ACC">
        <w:rPr>
          <w:sz w:val="20"/>
        </w:rPr>
        <w:t>is the age structure of the current stationary population</w:t>
      </w:r>
      <w:r w:rsidR="00E87ACC">
        <w:rPr>
          <w:sz w:val="20"/>
        </w:rPr>
        <w:t>, which we label RAS, or “reference age structure”</w:t>
      </w:r>
      <w:r w:rsidR="00E87ACC" w:rsidRPr="00E87ACC">
        <w:rPr>
          <w:sz w:val="20"/>
        </w:rPr>
        <w:t xml:space="preserve">. </w:t>
      </w:r>
      <w:r w:rsidR="00E87ACC">
        <w:rPr>
          <w:sz w:val="20"/>
        </w:rPr>
        <w:t xml:space="preserve">There is no mathematical demonstration for this tendency: </w:t>
      </w:r>
      <w:r w:rsidR="00CF2537">
        <w:rPr>
          <w:sz w:val="20"/>
        </w:rPr>
        <w:t xml:space="preserve">however, </w:t>
      </w:r>
      <w:r w:rsidR="00E87ACC">
        <w:rPr>
          <w:sz w:val="20"/>
        </w:rPr>
        <w:t xml:space="preserve">we show that it </w:t>
      </w:r>
      <w:r w:rsidR="005A37A7">
        <w:rPr>
          <w:sz w:val="20"/>
        </w:rPr>
        <w:t>exists in practice</w:t>
      </w:r>
      <w:r w:rsidR="00380902">
        <w:rPr>
          <w:sz w:val="20"/>
        </w:rPr>
        <w:t xml:space="preserve">, </w:t>
      </w:r>
      <w:r w:rsidR="00E87ACC" w:rsidRPr="00E87ACC">
        <w:rPr>
          <w:sz w:val="20"/>
        </w:rPr>
        <w:t xml:space="preserve">measure the </w:t>
      </w:r>
      <w:r w:rsidR="00E87ACC">
        <w:rPr>
          <w:sz w:val="20"/>
        </w:rPr>
        <w:t xml:space="preserve">speed </w:t>
      </w:r>
      <w:r w:rsidR="00E87ACC" w:rsidRPr="00E87ACC">
        <w:rPr>
          <w:sz w:val="20"/>
        </w:rPr>
        <w:t>of the convergence</w:t>
      </w:r>
      <w:r w:rsidR="00E87ACC">
        <w:rPr>
          <w:sz w:val="20"/>
        </w:rPr>
        <w:t xml:space="preserve"> (of the current on the reference age structure)</w:t>
      </w:r>
      <w:r w:rsidR="00E87ACC" w:rsidRPr="00E87ACC">
        <w:rPr>
          <w:sz w:val="20"/>
        </w:rPr>
        <w:t xml:space="preserve">, and discuss the theoretical and </w:t>
      </w:r>
      <w:r w:rsidR="00E87ACC">
        <w:rPr>
          <w:sz w:val="20"/>
        </w:rPr>
        <w:t>practical utility of the notion</w:t>
      </w:r>
      <w:r w:rsidRPr="009D0E2A">
        <w:rPr>
          <w:sz w:val="20"/>
        </w:rPr>
        <w:t>.</w:t>
      </w:r>
    </w:p>
    <w:p w:rsidR="00C71975" w:rsidRPr="00E87ACC" w:rsidRDefault="009C19FC">
      <w:pPr>
        <w:pStyle w:val="Maintext"/>
        <w:rPr>
          <w:i/>
          <w:sz w:val="20"/>
          <w:lang w:val="it-IT"/>
        </w:rPr>
      </w:pPr>
      <w:proofErr w:type="spellStart"/>
      <w:r w:rsidRPr="00E87ACC">
        <w:rPr>
          <w:b/>
          <w:bCs/>
          <w:sz w:val="20"/>
          <w:lang w:val="it-IT"/>
        </w:rPr>
        <w:t>Abstract</w:t>
      </w:r>
      <w:proofErr w:type="spellEnd"/>
      <w:r w:rsidRPr="00E87ACC">
        <w:rPr>
          <w:b/>
          <w:bCs/>
          <w:sz w:val="20"/>
          <w:lang w:val="it-IT"/>
        </w:rPr>
        <w:t xml:space="preserve"> </w:t>
      </w:r>
      <w:r w:rsidR="00E87ACC" w:rsidRPr="00E87ACC">
        <w:rPr>
          <w:bCs/>
          <w:i/>
          <w:sz w:val="20"/>
          <w:lang w:val="it-IT"/>
        </w:rPr>
        <w:t xml:space="preserve">In questo </w:t>
      </w:r>
      <w:proofErr w:type="spellStart"/>
      <w:r w:rsidR="00E87ACC" w:rsidRPr="00E87ACC">
        <w:rPr>
          <w:bCs/>
          <w:i/>
          <w:sz w:val="20"/>
          <w:lang w:val="it-IT"/>
        </w:rPr>
        <w:t>paper</w:t>
      </w:r>
      <w:proofErr w:type="spellEnd"/>
      <w:r w:rsidR="00E87ACC" w:rsidRPr="00E87ACC">
        <w:rPr>
          <w:bCs/>
          <w:i/>
          <w:sz w:val="20"/>
          <w:lang w:val="it-IT"/>
        </w:rPr>
        <w:t xml:space="preserve"> dimostriamo che la struttura per età corrente evolve nel tempo </w:t>
      </w:r>
      <w:r w:rsidR="00E87ACC">
        <w:rPr>
          <w:bCs/>
          <w:i/>
          <w:sz w:val="20"/>
          <w:lang w:val="it-IT"/>
        </w:rPr>
        <w:t>subendo la costante attrazione</w:t>
      </w:r>
      <w:r w:rsidR="00C71975" w:rsidRPr="00E87ACC">
        <w:rPr>
          <w:bCs/>
          <w:i/>
          <w:sz w:val="20"/>
          <w:lang w:val="it-IT"/>
        </w:rPr>
        <w:t xml:space="preserve"> </w:t>
      </w:r>
      <w:r w:rsidR="00380902">
        <w:rPr>
          <w:bCs/>
          <w:i/>
          <w:sz w:val="20"/>
          <w:lang w:val="it-IT"/>
        </w:rPr>
        <w:t xml:space="preserve">della </w:t>
      </w:r>
      <w:r w:rsidR="00E87ACC">
        <w:rPr>
          <w:bCs/>
          <w:i/>
          <w:sz w:val="20"/>
          <w:lang w:val="it-IT"/>
        </w:rPr>
        <w:t>struttura per età della popolazione stazionaria corrente, che qui chiamiamo RAS (“</w:t>
      </w:r>
      <w:proofErr w:type="spellStart"/>
      <w:r w:rsidR="00E87ACC" w:rsidRPr="00E87ACC">
        <w:rPr>
          <w:bCs/>
          <w:i/>
          <w:sz w:val="20"/>
          <w:lang w:val="it-IT"/>
        </w:rPr>
        <w:t>reference</w:t>
      </w:r>
      <w:proofErr w:type="spellEnd"/>
      <w:r w:rsidR="00E87ACC" w:rsidRPr="00E87ACC">
        <w:rPr>
          <w:bCs/>
          <w:i/>
          <w:sz w:val="20"/>
          <w:lang w:val="it-IT"/>
        </w:rPr>
        <w:t xml:space="preserve"> </w:t>
      </w:r>
      <w:proofErr w:type="spellStart"/>
      <w:r w:rsidR="00E87ACC" w:rsidRPr="00E87ACC">
        <w:rPr>
          <w:bCs/>
          <w:i/>
          <w:sz w:val="20"/>
          <w:lang w:val="it-IT"/>
        </w:rPr>
        <w:t>age</w:t>
      </w:r>
      <w:proofErr w:type="spellEnd"/>
      <w:r w:rsidR="00E87ACC" w:rsidRPr="00E87ACC">
        <w:rPr>
          <w:bCs/>
          <w:i/>
          <w:sz w:val="20"/>
          <w:lang w:val="it-IT"/>
        </w:rPr>
        <w:t xml:space="preserve"> </w:t>
      </w:r>
      <w:proofErr w:type="spellStart"/>
      <w:r w:rsidR="00E87ACC" w:rsidRPr="00E87ACC">
        <w:rPr>
          <w:bCs/>
          <w:i/>
          <w:sz w:val="20"/>
          <w:lang w:val="it-IT"/>
        </w:rPr>
        <w:t>structure</w:t>
      </w:r>
      <w:proofErr w:type="spellEnd"/>
      <w:r w:rsidR="00E87ACC">
        <w:rPr>
          <w:bCs/>
          <w:i/>
          <w:sz w:val="20"/>
          <w:lang w:val="it-IT"/>
        </w:rPr>
        <w:t>”, o struttura per età</w:t>
      </w:r>
      <w:r w:rsidR="00380902">
        <w:rPr>
          <w:bCs/>
          <w:i/>
          <w:sz w:val="20"/>
          <w:lang w:val="it-IT"/>
        </w:rPr>
        <w:t xml:space="preserve"> di riferi</w:t>
      </w:r>
      <w:r w:rsidR="00E87ACC">
        <w:rPr>
          <w:bCs/>
          <w:i/>
          <w:sz w:val="20"/>
          <w:lang w:val="it-IT"/>
        </w:rPr>
        <w:t>mento).</w:t>
      </w:r>
      <w:r w:rsidR="00380902">
        <w:rPr>
          <w:bCs/>
          <w:i/>
          <w:sz w:val="20"/>
          <w:lang w:val="it-IT"/>
        </w:rPr>
        <w:t xml:space="preserve"> La tendenza alla convergenza non può essere dimostrata matematicamente, ma avviene empiricamente: qui </w:t>
      </w:r>
      <w:r w:rsidR="005A37A7">
        <w:rPr>
          <w:bCs/>
          <w:i/>
          <w:sz w:val="20"/>
          <w:lang w:val="it-IT"/>
        </w:rPr>
        <w:t xml:space="preserve">lo si dimostra, </w:t>
      </w:r>
      <w:r w:rsidR="00380902">
        <w:rPr>
          <w:bCs/>
          <w:i/>
          <w:sz w:val="20"/>
          <w:lang w:val="it-IT"/>
        </w:rPr>
        <w:t>si misura</w:t>
      </w:r>
      <w:r w:rsidR="005A37A7">
        <w:rPr>
          <w:bCs/>
          <w:i/>
          <w:sz w:val="20"/>
          <w:lang w:val="it-IT"/>
        </w:rPr>
        <w:t xml:space="preserve"> la velocità di questo processo</w:t>
      </w:r>
      <w:r w:rsidR="00380902">
        <w:rPr>
          <w:bCs/>
          <w:i/>
          <w:sz w:val="20"/>
          <w:lang w:val="it-IT"/>
        </w:rPr>
        <w:t xml:space="preserve"> e si discutono alcune delle implicazioni </w:t>
      </w:r>
      <w:r w:rsidR="002E13E2">
        <w:rPr>
          <w:bCs/>
          <w:i/>
          <w:sz w:val="20"/>
          <w:lang w:val="it-IT"/>
        </w:rPr>
        <w:t xml:space="preserve">teoriche e </w:t>
      </w:r>
      <w:r w:rsidR="00380902">
        <w:rPr>
          <w:bCs/>
          <w:i/>
          <w:sz w:val="20"/>
          <w:lang w:val="it-IT"/>
        </w:rPr>
        <w:t xml:space="preserve">pratiche della </w:t>
      </w:r>
      <w:r w:rsidR="002E13E2">
        <w:rPr>
          <w:bCs/>
          <w:i/>
          <w:sz w:val="20"/>
          <w:lang w:val="it-IT"/>
        </w:rPr>
        <w:t xml:space="preserve">nostra </w:t>
      </w:r>
      <w:r w:rsidR="00380902">
        <w:rPr>
          <w:bCs/>
          <w:i/>
          <w:sz w:val="20"/>
          <w:lang w:val="it-IT"/>
        </w:rPr>
        <w:t>scoperta</w:t>
      </w:r>
      <w:r w:rsidR="002E13E2">
        <w:rPr>
          <w:bCs/>
          <w:i/>
          <w:sz w:val="20"/>
          <w:lang w:val="it-IT"/>
        </w:rPr>
        <w:t>, che, a quanto ci consta, rappresenta una novità in demografia</w:t>
      </w:r>
    </w:p>
    <w:p w:rsidR="00114064" w:rsidRPr="00E87ACC" w:rsidRDefault="00114064">
      <w:pPr>
        <w:pStyle w:val="Maintext"/>
        <w:rPr>
          <w:sz w:val="20"/>
          <w:lang w:val="it-IT"/>
        </w:rPr>
      </w:pPr>
    </w:p>
    <w:p w:rsidR="00114064" w:rsidRPr="009D0E2A" w:rsidRDefault="00114064" w:rsidP="00114064">
      <w:pPr>
        <w:pStyle w:val="Maintext"/>
        <w:rPr>
          <w:sz w:val="20"/>
        </w:rPr>
      </w:pPr>
      <w:r w:rsidRPr="009D0E2A">
        <w:rPr>
          <w:b/>
          <w:sz w:val="20"/>
        </w:rPr>
        <w:t>Key words</w:t>
      </w:r>
      <w:r w:rsidRPr="002E13E2">
        <w:rPr>
          <w:sz w:val="20"/>
        </w:rPr>
        <w:t xml:space="preserve">: </w:t>
      </w:r>
      <w:r w:rsidR="00350688">
        <w:rPr>
          <w:sz w:val="20"/>
        </w:rPr>
        <w:t>A</w:t>
      </w:r>
      <w:r w:rsidR="002E13E2" w:rsidRPr="002E13E2">
        <w:rPr>
          <w:sz w:val="20"/>
        </w:rPr>
        <w:t xml:space="preserve">ge </w:t>
      </w:r>
      <w:r w:rsidR="002E13E2">
        <w:rPr>
          <w:sz w:val="20"/>
        </w:rPr>
        <w:t>structure</w:t>
      </w:r>
      <w:r w:rsidRPr="009D0E2A">
        <w:rPr>
          <w:sz w:val="20"/>
        </w:rPr>
        <w:t xml:space="preserve">, </w:t>
      </w:r>
      <w:r w:rsidR="002E13E2">
        <w:rPr>
          <w:sz w:val="20"/>
        </w:rPr>
        <w:t>Stationary population, ECM (Error Correction Model)</w:t>
      </w:r>
      <w:r w:rsidRPr="009D0E2A">
        <w:rPr>
          <w:sz w:val="20"/>
        </w:rPr>
        <w:t>.</w:t>
      </w:r>
    </w:p>
    <w:p w:rsidR="00A149DC" w:rsidRDefault="007E41C4">
      <w:pPr>
        <w:pStyle w:val="SectionHeading"/>
        <w:tabs>
          <w:tab w:val="left" w:pos="284"/>
        </w:tabs>
        <w:ind w:left="284" w:hanging="284"/>
      </w:pPr>
      <w:r>
        <w:t xml:space="preserve">Two </w:t>
      </w:r>
      <w:r w:rsidR="003B2C25">
        <w:t>Age Structures</w:t>
      </w:r>
      <w:r>
        <w:t xml:space="preserve">: </w:t>
      </w:r>
      <w:r w:rsidR="003B2C25">
        <w:t xml:space="preserve">Actual and Stationary Populations </w:t>
      </w:r>
    </w:p>
    <w:p w:rsidR="00A149DC" w:rsidRDefault="007E41C4">
      <w:pPr>
        <w:pStyle w:val="Maintextfirstline"/>
        <w:rPr>
          <w:sz w:val="20"/>
        </w:rPr>
      </w:pPr>
      <w:r w:rsidRPr="007E41C4">
        <w:rPr>
          <w:sz w:val="20"/>
        </w:rPr>
        <w:t xml:space="preserve">Let </w:t>
      </w:r>
      <w:proofErr w:type="spellStart"/>
      <w:r w:rsidRPr="007E41C4">
        <w:rPr>
          <w:sz w:val="20"/>
        </w:rPr>
        <w:t>c</w:t>
      </w:r>
      <w:r w:rsidRPr="007E41C4">
        <w:rPr>
          <w:sz w:val="20"/>
          <w:vertAlign w:val="subscript"/>
        </w:rPr>
        <w:t>x</w:t>
      </w:r>
      <w:proofErr w:type="gramStart"/>
      <w:r w:rsidRPr="007E41C4">
        <w:rPr>
          <w:sz w:val="20"/>
          <w:vertAlign w:val="subscript"/>
        </w:rPr>
        <w:t>,t</w:t>
      </w:r>
      <w:proofErr w:type="spellEnd"/>
      <w:proofErr w:type="gramEnd"/>
      <w:r w:rsidRPr="007E41C4">
        <w:rPr>
          <w:sz w:val="20"/>
        </w:rPr>
        <w:t xml:space="preserve"> be the age structure of the population at time t, or current age structure. It is defined as the relative share of population aged x, </w:t>
      </w:r>
      <w:proofErr w:type="spellStart"/>
      <w:proofErr w:type="gramStart"/>
      <w:r w:rsidRPr="007E41C4">
        <w:rPr>
          <w:sz w:val="20"/>
        </w:rPr>
        <w:t>P</w:t>
      </w:r>
      <w:r w:rsidRPr="007E41C4">
        <w:rPr>
          <w:sz w:val="20"/>
          <w:vertAlign w:val="subscript"/>
        </w:rPr>
        <w:t>x</w:t>
      </w:r>
      <w:proofErr w:type="spellEnd"/>
      <w:proofErr w:type="gramEnd"/>
      <w:r w:rsidRPr="007E41C4">
        <w:rPr>
          <w:sz w:val="20"/>
        </w:rPr>
        <w:t>, to the total population P: c</w:t>
      </w:r>
      <w:r w:rsidRPr="007E41C4">
        <w:rPr>
          <w:sz w:val="20"/>
          <w:vertAlign w:val="subscript"/>
        </w:rPr>
        <w:t>x</w:t>
      </w:r>
      <w:r w:rsidRPr="007E41C4">
        <w:rPr>
          <w:sz w:val="20"/>
        </w:rPr>
        <w:t>=</w:t>
      </w:r>
      <w:proofErr w:type="spellStart"/>
      <w:r w:rsidRPr="007E41C4">
        <w:rPr>
          <w:sz w:val="20"/>
        </w:rPr>
        <w:t>P</w:t>
      </w:r>
      <w:r w:rsidRPr="007E41C4">
        <w:rPr>
          <w:sz w:val="20"/>
          <w:vertAlign w:val="subscript"/>
        </w:rPr>
        <w:t>x</w:t>
      </w:r>
      <w:proofErr w:type="spellEnd"/>
      <w:r w:rsidRPr="007E41C4">
        <w:rPr>
          <w:sz w:val="20"/>
        </w:rPr>
        <w:t xml:space="preserve">/P. Similarly, let </w:t>
      </w:r>
      <w:proofErr w:type="spellStart"/>
      <w:r w:rsidRPr="007E41C4">
        <w:rPr>
          <w:sz w:val="20"/>
        </w:rPr>
        <w:t>k</w:t>
      </w:r>
      <w:r w:rsidRPr="007E41C4">
        <w:rPr>
          <w:sz w:val="20"/>
          <w:vertAlign w:val="subscript"/>
        </w:rPr>
        <w:t>x</w:t>
      </w:r>
      <w:proofErr w:type="gramStart"/>
      <w:r w:rsidRPr="007E41C4">
        <w:rPr>
          <w:sz w:val="20"/>
          <w:vertAlign w:val="subscript"/>
        </w:rPr>
        <w:t>,t</w:t>
      </w:r>
      <w:proofErr w:type="spellEnd"/>
      <w:proofErr w:type="gramEnd"/>
      <w:r w:rsidRPr="007E41C4">
        <w:rPr>
          <w:sz w:val="20"/>
        </w:rPr>
        <w:t xml:space="preserve"> be the age structure of the stationary population, calculated on the cross sectional life table </w:t>
      </w:r>
      <w:r w:rsidR="00CF2537">
        <w:rPr>
          <w:sz w:val="20"/>
        </w:rPr>
        <w:t>in</w:t>
      </w:r>
      <w:r w:rsidRPr="007E41C4">
        <w:rPr>
          <w:sz w:val="20"/>
        </w:rPr>
        <w:t xml:space="preserve"> year t. If </w:t>
      </w:r>
      <w:proofErr w:type="spellStart"/>
      <w:r w:rsidRPr="007E41C4">
        <w:rPr>
          <w:sz w:val="20"/>
        </w:rPr>
        <w:t>L</w:t>
      </w:r>
      <w:r w:rsidRPr="007E41C4">
        <w:rPr>
          <w:sz w:val="20"/>
          <w:vertAlign w:val="subscript"/>
        </w:rPr>
        <w:t>x</w:t>
      </w:r>
      <w:r w:rsidR="00350688">
        <w:rPr>
          <w:sz w:val="20"/>
          <w:vertAlign w:val="subscript"/>
        </w:rPr>
        <w:t>,t</w:t>
      </w:r>
      <w:proofErr w:type="spellEnd"/>
      <w:r w:rsidRPr="007E41C4">
        <w:rPr>
          <w:sz w:val="20"/>
        </w:rPr>
        <w:t xml:space="preserve"> are the person-years lived at age x</w:t>
      </w:r>
      <w:r w:rsidR="00350688">
        <w:rPr>
          <w:sz w:val="20"/>
        </w:rPr>
        <w:t xml:space="preserve"> in </w:t>
      </w:r>
      <w:r w:rsidR="00350688">
        <w:rPr>
          <w:sz w:val="20"/>
        </w:rPr>
        <w:lastRenderedPageBreak/>
        <w:t>year t</w:t>
      </w:r>
      <w:r w:rsidRPr="007E41C4">
        <w:rPr>
          <w:sz w:val="20"/>
        </w:rPr>
        <w:t xml:space="preserve"> and T</w:t>
      </w:r>
      <w:r w:rsidRPr="007E41C4">
        <w:rPr>
          <w:sz w:val="20"/>
          <w:vertAlign w:val="subscript"/>
        </w:rPr>
        <w:t>0</w:t>
      </w:r>
      <w:r w:rsidR="005A37A7">
        <w:rPr>
          <w:sz w:val="20"/>
          <w:vertAlign w:val="subscript"/>
        </w:rPr>
        <w:t>,t</w:t>
      </w:r>
      <w:r w:rsidRPr="007E41C4">
        <w:rPr>
          <w:sz w:val="20"/>
        </w:rPr>
        <w:t xml:space="preserve"> is their sum, or total number of person</w:t>
      </w:r>
      <w:r w:rsidR="00CF2537">
        <w:rPr>
          <w:sz w:val="20"/>
        </w:rPr>
        <w:t>-years lived at all ages</w:t>
      </w:r>
      <w:r w:rsidRPr="007E41C4">
        <w:rPr>
          <w:sz w:val="20"/>
        </w:rPr>
        <w:t xml:space="preserve">, the ratios </w:t>
      </w:r>
      <w:proofErr w:type="spellStart"/>
      <w:r w:rsidRPr="007E41C4">
        <w:rPr>
          <w:sz w:val="20"/>
        </w:rPr>
        <w:t>k</w:t>
      </w:r>
      <w:r w:rsidRPr="00350688">
        <w:rPr>
          <w:sz w:val="20"/>
          <w:vertAlign w:val="subscript"/>
        </w:rPr>
        <w:t>x</w:t>
      </w:r>
      <w:r w:rsidR="00350688">
        <w:rPr>
          <w:sz w:val="20"/>
          <w:vertAlign w:val="subscript"/>
        </w:rPr>
        <w:t>,t</w:t>
      </w:r>
      <w:proofErr w:type="spellEnd"/>
      <w:r w:rsidRPr="007E41C4">
        <w:rPr>
          <w:sz w:val="20"/>
        </w:rPr>
        <w:t>=</w:t>
      </w:r>
      <w:proofErr w:type="spellStart"/>
      <w:r w:rsidRPr="007E41C4">
        <w:rPr>
          <w:sz w:val="20"/>
        </w:rPr>
        <w:t>L</w:t>
      </w:r>
      <w:r w:rsidRPr="00350688">
        <w:rPr>
          <w:sz w:val="20"/>
          <w:vertAlign w:val="subscript"/>
        </w:rPr>
        <w:t>x</w:t>
      </w:r>
      <w:r w:rsidR="00350688">
        <w:rPr>
          <w:sz w:val="20"/>
          <w:vertAlign w:val="subscript"/>
        </w:rPr>
        <w:t>,t</w:t>
      </w:r>
      <w:proofErr w:type="spellEnd"/>
      <w:r w:rsidRPr="007E41C4">
        <w:rPr>
          <w:sz w:val="20"/>
        </w:rPr>
        <w:t>/T</w:t>
      </w:r>
      <w:r w:rsidRPr="00350688">
        <w:rPr>
          <w:sz w:val="20"/>
          <w:vertAlign w:val="subscript"/>
        </w:rPr>
        <w:t>0</w:t>
      </w:r>
      <w:r w:rsidR="00350688">
        <w:rPr>
          <w:sz w:val="20"/>
        </w:rPr>
        <w:t>,t</w:t>
      </w:r>
      <w:r w:rsidRPr="007E41C4">
        <w:rPr>
          <w:sz w:val="20"/>
        </w:rPr>
        <w:t xml:space="preserve"> form the age structure of the stationary population</w:t>
      </w:r>
      <w:r w:rsidR="00350688">
        <w:rPr>
          <w:sz w:val="20"/>
        </w:rPr>
        <w:t xml:space="preserve"> </w:t>
      </w:r>
      <w:r w:rsidR="00A06B62">
        <w:rPr>
          <w:sz w:val="20"/>
        </w:rPr>
        <w:t>in</w:t>
      </w:r>
      <w:r w:rsidR="00350688">
        <w:rPr>
          <w:sz w:val="20"/>
        </w:rPr>
        <w:t xml:space="preserve"> year t</w:t>
      </w:r>
      <w:r w:rsidRPr="007E41C4">
        <w:rPr>
          <w:sz w:val="20"/>
        </w:rPr>
        <w:t xml:space="preserve">, which we also call “reference” age structure </w:t>
      </w:r>
      <w:r w:rsidR="00350688">
        <w:rPr>
          <w:sz w:val="20"/>
        </w:rPr>
        <w:t xml:space="preserve">(or RAS) </w:t>
      </w:r>
      <w:r w:rsidRPr="007E41C4">
        <w:rPr>
          <w:sz w:val="20"/>
        </w:rPr>
        <w:t xml:space="preserve">in this paper. </w:t>
      </w:r>
      <w:r w:rsidR="00A06B62">
        <w:rPr>
          <w:sz w:val="20"/>
        </w:rPr>
        <w:t xml:space="preserve">Obviously, </w:t>
      </w:r>
      <w:r w:rsidR="00A06B62" w:rsidRPr="00A06B62">
        <w:rPr>
          <w:rFonts w:ascii="Symbol" w:hAnsi="Symbol"/>
          <w:sz w:val="20"/>
        </w:rPr>
        <w:t></w:t>
      </w:r>
      <w:r w:rsidR="00A06B62">
        <w:rPr>
          <w:sz w:val="20"/>
        </w:rPr>
        <w:t>c</w:t>
      </w:r>
      <w:r w:rsidR="00A06B62" w:rsidRPr="00A06B62">
        <w:rPr>
          <w:sz w:val="20"/>
          <w:vertAlign w:val="subscript"/>
        </w:rPr>
        <w:t>x</w:t>
      </w:r>
      <w:r w:rsidR="00A06B62">
        <w:rPr>
          <w:sz w:val="20"/>
        </w:rPr>
        <w:t>=</w:t>
      </w:r>
      <w:r w:rsidR="00A06B62" w:rsidRPr="00A06B62">
        <w:rPr>
          <w:rFonts w:ascii="Symbol" w:hAnsi="Symbol"/>
          <w:sz w:val="20"/>
        </w:rPr>
        <w:t></w:t>
      </w:r>
      <w:proofErr w:type="spellStart"/>
      <w:r w:rsidR="00A06B62">
        <w:rPr>
          <w:sz w:val="20"/>
        </w:rPr>
        <w:t>k</w:t>
      </w:r>
      <w:r w:rsidR="00A06B62" w:rsidRPr="00A06B62">
        <w:rPr>
          <w:sz w:val="20"/>
          <w:vertAlign w:val="subscript"/>
        </w:rPr>
        <w:t>x</w:t>
      </w:r>
      <w:proofErr w:type="spellEnd"/>
      <w:r w:rsidR="00A06B62">
        <w:rPr>
          <w:sz w:val="20"/>
        </w:rPr>
        <w:t>=</w:t>
      </w:r>
      <w:proofErr w:type="gramStart"/>
      <w:r w:rsidR="00A06B62">
        <w:rPr>
          <w:sz w:val="20"/>
        </w:rPr>
        <w:t>1</w:t>
      </w:r>
      <w:proofErr w:type="gramEnd"/>
      <w:r w:rsidR="00A06B62">
        <w:rPr>
          <w:sz w:val="20"/>
        </w:rPr>
        <w:t>.</w:t>
      </w:r>
      <w:r w:rsidR="00DD4404">
        <w:rPr>
          <w:sz w:val="20"/>
        </w:rPr>
        <w:t xml:space="preserve"> Selected examples of both </w:t>
      </w:r>
      <w:proofErr w:type="gramStart"/>
      <w:r w:rsidR="00DD4404">
        <w:rPr>
          <w:sz w:val="20"/>
        </w:rPr>
        <w:t>are presented</w:t>
      </w:r>
      <w:proofErr w:type="gramEnd"/>
      <w:r w:rsidR="00DD4404">
        <w:rPr>
          <w:sz w:val="20"/>
        </w:rPr>
        <w:t xml:space="preserve"> in Figure 1.</w:t>
      </w:r>
    </w:p>
    <w:p w:rsidR="002106A0" w:rsidRPr="002106A0" w:rsidRDefault="002106A0" w:rsidP="002106A0">
      <w:pPr>
        <w:pStyle w:val="Maintext"/>
      </w:pPr>
    </w:p>
    <w:p w:rsidR="002106A0" w:rsidRDefault="002106A0" w:rsidP="002106A0">
      <w:pPr>
        <w:pStyle w:val="Didascalia2"/>
      </w:pPr>
      <w:r>
        <w:rPr>
          <w:b/>
        </w:rPr>
        <w:t>Figure 1:</w:t>
      </w:r>
      <w:r>
        <w:t xml:space="preserve"> </w:t>
      </w:r>
      <w:r w:rsidRPr="002106A0">
        <w:t>Actual (c</w:t>
      </w:r>
      <w:r w:rsidRPr="002106A0">
        <w:rPr>
          <w:vertAlign w:val="subscript"/>
        </w:rPr>
        <w:t>x</w:t>
      </w:r>
      <w:r w:rsidRPr="002106A0">
        <w:t>) and reference (</w:t>
      </w:r>
      <w:proofErr w:type="spellStart"/>
      <w:r w:rsidRPr="002106A0">
        <w:t>k</w:t>
      </w:r>
      <w:r w:rsidRPr="002106A0">
        <w:rPr>
          <w:vertAlign w:val="subscript"/>
        </w:rPr>
        <w:t>x</w:t>
      </w:r>
      <w:proofErr w:type="spellEnd"/>
      <w:r w:rsidRPr="002106A0">
        <w:t>) age structure</w:t>
      </w:r>
      <w:r w:rsidR="005A37A7">
        <w:t>s</w:t>
      </w:r>
      <w:r w:rsidRPr="002106A0">
        <w:t xml:space="preserve"> of selected populations</w:t>
      </w:r>
      <w:r w:rsidRPr="003B2C25">
        <w:t xml:space="preserve"> </w:t>
      </w:r>
    </w:p>
    <w:p w:rsidR="002106A0" w:rsidRDefault="00EA60F3" w:rsidP="002106A0">
      <w:pPr>
        <w:pStyle w:val="Maintext"/>
        <w:jc w:val="center"/>
      </w:pPr>
      <w:r w:rsidRPr="002106A0">
        <w:rPr>
          <w:noProof/>
          <w:lang w:val="it-IT" w:eastAsia="it-IT"/>
        </w:rPr>
        <w:drawing>
          <wp:inline distT="0" distB="0" distL="0" distR="0">
            <wp:extent cx="4312285" cy="26574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6A0" w:rsidRPr="00D83C45" w:rsidRDefault="002106A0" w:rsidP="002106A0">
      <w:pPr>
        <w:pStyle w:val="Maintext"/>
        <w:rPr>
          <w:sz w:val="16"/>
          <w:szCs w:val="16"/>
        </w:rPr>
      </w:pPr>
      <w:r w:rsidRPr="00D83C45">
        <w:rPr>
          <w:sz w:val="16"/>
          <w:szCs w:val="16"/>
        </w:rPr>
        <w:t xml:space="preserve">Source: </w:t>
      </w:r>
      <w:r>
        <w:rPr>
          <w:sz w:val="16"/>
          <w:szCs w:val="16"/>
        </w:rPr>
        <w:t>UN (2017).</w:t>
      </w:r>
    </w:p>
    <w:p w:rsidR="002106A0" w:rsidRDefault="002106A0">
      <w:pPr>
        <w:pStyle w:val="Maintext"/>
        <w:ind w:firstLine="284"/>
        <w:rPr>
          <w:sz w:val="20"/>
        </w:rPr>
      </w:pPr>
    </w:p>
    <w:p w:rsidR="00A149DC" w:rsidRDefault="002106A0">
      <w:pPr>
        <w:pStyle w:val="Maintext"/>
        <w:ind w:firstLine="284"/>
        <w:rPr>
          <w:sz w:val="20"/>
        </w:rPr>
      </w:pPr>
      <w:r w:rsidRPr="007E41C4">
        <w:rPr>
          <w:sz w:val="20"/>
        </w:rPr>
        <w:t xml:space="preserve">Our hypothesis is that the </w:t>
      </w:r>
      <w:r w:rsidR="005A37A7">
        <w:rPr>
          <w:sz w:val="20"/>
        </w:rPr>
        <w:t xml:space="preserve">shares </w:t>
      </w:r>
      <w:proofErr w:type="spellStart"/>
      <w:r w:rsidRPr="007E41C4">
        <w:rPr>
          <w:sz w:val="20"/>
        </w:rPr>
        <w:t>c</w:t>
      </w:r>
      <w:r w:rsidRPr="00350688">
        <w:rPr>
          <w:sz w:val="20"/>
          <w:vertAlign w:val="subscript"/>
        </w:rPr>
        <w:t>x</w:t>
      </w:r>
      <w:proofErr w:type="gramStart"/>
      <w:r w:rsidRPr="00350688">
        <w:rPr>
          <w:sz w:val="20"/>
          <w:vertAlign w:val="subscript"/>
        </w:rPr>
        <w:t>,t</w:t>
      </w:r>
      <w:proofErr w:type="spellEnd"/>
      <w:proofErr w:type="gramEnd"/>
      <w:r w:rsidRPr="007E41C4">
        <w:rPr>
          <w:sz w:val="20"/>
        </w:rPr>
        <w:t xml:space="preserve"> tend to move towards their reference counterpart </w:t>
      </w:r>
      <w:proofErr w:type="spellStart"/>
      <w:r w:rsidRPr="007E41C4">
        <w:rPr>
          <w:sz w:val="20"/>
        </w:rPr>
        <w:t>k</w:t>
      </w:r>
      <w:r w:rsidRPr="00350688">
        <w:rPr>
          <w:sz w:val="20"/>
          <w:vertAlign w:val="subscript"/>
        </w:rPr>
        <w:t>x,t</w:t>
      </w:r>
      <w:proofErr w:type="spellEnd"/>
      <w:r w:rsidRPr="009D0E2A">
        <w:rPr>
          <w:sz w:val="20"/>
        </w:rPr>
        <w:t>.</w:t>
      </w:r>
      <w:r>
        <w:rPr>
          <w:sz w:val="20"/>
        </w:rPr>
        <w:t xml:space="preserve"> </w:t>
      </w:r>
      <w:r w:rsidR="00350688" w:rsidRPr="007E41C4">
        <w:rPr>
          <w:sz w:val="20"/>
        </w:rPr>
        <w:t>To prove this, we run the following Error Correction Model (ECM) on UN</w:t>
      </w:r>
      <w:r w:rsidR="00350688">
        <w:rPr>
          <w:sz w:val="20"/>
        </w:rPr>
        <w:t xml:space="preserve"> </w:t>
      </w:r>
      <w:r w:rsidR="00A06B62">
        <w:rPr>
          <w:sz w:val="20"/>
        </w:rPr>
        <w:t xml:space="preserve">(2017) </w:t>
      </w:r>
      <w:r w:rsidR="00350688">
        <w:rPr>
          <w:sz w:val="20"/>
        </w:rPr>
        <w:t>data</w:t>
      </w:r>
    </w:p>
    <w:p w:rsidR="00350688" w:rsidRPr="005A37A7" w:rsidRDefault="00350688" w:rsidP="00350688">
      <w:pPr>
        <w:pStyle w:val="Formula"/>
        <w:rPr>
          <w:lang w:val="en-GB"/>
        </w:rPr>
      </w:pPr>
      <w:r w:rsidRPr="00B1256B">
        <w:rPr>
          <w:lang w:val="en-GB"/>
        </w:rPr>
        <w:tab/>
      </w:r>
      <w:r w:rsidRPr="00100295">
        <w:rPr>
          <w:rFonts w:ascii="Symbol" w:hAnsi="Symbol"/>
        </w:rPr>
        <w:t></w:t>
      </w:r>
      <w:proofErr w:type="spellStart"/>
      <w:r w:rsidRPr="005A37A7">
        <w:rPr>
          <w:i/>
          <w:lang w:val="en-GB"/>
        </w:rPr>
        <w:t>c</w:t>
      </w:r>
      <w:r w:rsidRPr="005A37A7">
        <w:rPr>
          <w:i/>
          <w:vertAlign w:val="subscript"/>
          <w:lang w:val="en-GB"/>
        </w:rPr>
        <w:t>x</w:t>
      </w:r>
      <w:proofErr w:type="gramStart"/>
      <w:r w:rsidRPr="005A37A7">
        <w:rPr>
          <w:i/>
          <w:vertAlign w:val="subscript"/>
          <w:lang w:val="en-GB"/>
        </w:rPr>
        <w:t>,t</w:t>
      </w:r>
      <w:proofErr w:type="spellEnd"/>
      <w:proofErr w:type="gramEnd"/>
      <w:r w:rsidRPr="005A37A7">
        <w:rPr>
          <w:lang w:val="en-GB"/>
        </w:rPr>
        <w:t xml:space="preserve"> = </w:t>
      </w:r>
      <w:r w:rsidRPr="00100295">
        <w:rPr>
          <w:rFonts w:ascii="Symbol" w:hAnsi="Symbol"/>
        </w:rPr>
        <w:t></w:t>
      </w:r>
      <w:r w:rsidRPr="005A37A7">
        <w:rPr>
          <w:vertAlign w:val="subscript"/>
          <w:lang w:val="en-GB"/>
        </w:rPr>
        <w:t>0</w:t>
      </w:r>
      <w:r w:rsidRPr="005A37A7">
        <w:rPr>
          <w:lang w:val="en-GB"/>
        </w:rPr>
        <w:t xml:space="preserve"> + </w:t>
      </w:r>
      <w:r w:rsidRPr="00100295">
        <w:rPr>
          <w:rFonts w:ascii="Symbol" w:hAnsi="Symbol"/>
        </w:rPr>
        <w:t></w:t>
      </w:r>
      <w:r w:rsidRPr="005A37A7">
        <w:rPr>
          <w:vertAlign w:val="subscript"/>
          <w:lang w:val="en-GB"/>
        </w:rPr>
        <w:t>1</w:t>
      </w:r>
      <w:r w:rsidRPr="005A37A7">
        <w:rPr>
          <w:lang w:val="en-GB"/>
        </w:rPr>
        <w:t xml:space="preserve"> </w:t>
      </w:r>
      <w:r w:rsidRPr="00100295">
        <w:rPr>
          <w:rFonts w:ascii="Symbol" w:hAnsi="Symbol"/>
        </w:rPr>
        <w:t></w:t>
      </w:r>
      <w:proofErr w:type="spellStart"/>
      <w:r w:rsidRPr="005A37A7">
        <w:rPr>
          <w:i/>
          <w:lang w:val="en-GB"/>
        </w:rPr>
        <w:t>k</w:t>
      </w:r>
      <w:r w:rsidRPr="005A37A7">
        <w:rPr>
          <w:i/>
          <w:vertAlign w:val="subscript"/>
          <w:lang w:val="en-GB"/>
        </w:rPr>
        <w:t>x,t</w:t>
      </w:r>
      <w:proofErr w:type="spellEnd"/>
      <w:r w:rsidRPr="005A37A7">
        <w:rPr>
          <w:lang w:val="en-GB"/>
        </w:rPr>
        <w:t xml:space="preserve"> +</w:t>
      </w:r>
      <w:r w:rsidR="00CB79CB" w:rsidRPr="005A37A7">
        <w:rPr>
          <w:lang w:val="en-GB"/>
        </w:rPr>
        <w:t xml:space="preserve"> </w:t>
      </w:r>
      <w:r w:rsidRPr="00100295">
        <w:rPr>
          <w:rFonts w:ascii="Symbol" w:hAnsi="Symbol"/>
        </w:rPr>
        <w:t></w:t>
      </w:r>
      <w:r w:rsidRPr="005A37A7">
        <w:rPr>
          <w:vertAlign w:val="subscript"/>
          <w:lang w:val="en-GB"/>
        </w:rPr>
        <w:t>2</w:t>
      </w:r>
      <w:r w:rsidRPr="005A37A7">
        <w:rPr>
          <w:lang w:val="en-GB"/>
        </w:rPr>
        <w:t xml:space="preserve"> (</w:t>
      </w:r>
      <w:r w:rsidRPr="005A37A7">
        <w:rPr>
          <w:i/>
          <w:lang w:val="en-GB"/>
        </w:rPr>
        <w:t>k</w:t>
      </w:r>
      <w:r w:rsidRPr="005A37A7">
        <w:rPr>
          <w:i/>
          <w:vertAlign w:val="subscript"/>
          <w:lang w:val="en-GB"/>
        </w:rPr>
        <w:t>x,t-1</w:t>
      </w:r>
      <w:r w:rsidRPr="005A37A7">
        <w:rPr>
          <w:lang w:val="en-GB"/>
        </w:rPr>
        <w:t>-</w:t>
      </w:r>
      <w:r w:rsidRPr="005A37A7">
        <w:rPr>
          <w:i/>
          <w:lang w:val="en-GB"/>
        </w:rPr>
        <w:t>c</w:t>
      </w:r>
      <w:r w:rsidRPr="005A37A7">
        <w:rPr>
          <w:i/>
          <w:vertAlign w:val="subscript"/>
          <w:lang w:val="en-GB"/>
        </w:rPr>
        <w:t>x,t-1</w:t>
      </w:r>
      <w:r w:rsidRPr="005A37A7">
        <w:rPr>
          <w:lang w:val="en-GB"/>
        </w:rPr>
        <w:t xml:space="preserve">) + </w:t>
      </w:r>
      <w:r w:rsidRPr="000A23D2">
        <w:sym w:font="Symbol" w:char="F065"/>
      </w:r>
      <w:proofErr w:type="spellStart"/>
      <w:r w:rsidRPr="005A37A7">
        <w:rPr>
          <w:i/>
          <w:vertAlign w:val="subscript"/>
          <w:lang w:val="en-GB"/>
        </w:rPr>
        <w:t>x,t</w:t>
      </w:r>
      <w:proofErr w:type="spellEnd"/>
      <w:r w:rsidRPr="005A37A7">
        <w:rPr>
          <w:lang w:val="en-GB"/>
        </w:rPr>
        <w:tab/>
        <w:t>(1)</w:t>
      </w:r>
    </w:p>
    <w:p w:rsidR="003B2C25" w:rsidRDefault="005A37A7" w:rsidP="005A37A7">
      <w:pPr>
        <w:pStyle w:val="Maintext"/>
        <w:ind w:firstLine="284"/>
        <w:rPr>
          <w:sz w:val="20"/>
        </w:rPr>
      </w:pPr>
      <w:proofErr w:type="gramStart"/>
      <w:r w:rsidRPr="005A37A7">
        <w:rPr>
          <w:sz w:val="20"/>
        </w:rPr>
        <w:t>where</w:t>
      </w:r>
      <w:proofErr w:type="gramEnd"/>
      <w:r w:rsidRPr="005A37A7">
        <w:rPr>
          <w:sz w:val="20"/>
        </w:rPr>
        <w:t xml:space="preserve"> </w:t>
      </w:r>
      <w:r w:rsidRPr="005A37A7">
        <w:rPr>
          <w:rFonts w:ascii="Symbol" w:hAnsi="Symbol"/>
          <w:sz w:val="20"/>
          <w:lang w:val="fr-FR"/>
        </w:rPr>
        <w:t></w:t>
      </w:r>
      <w:proofErr w:type="spellStart"/>
      <w:r w:rsidRPr="005A37A7">
        <w:rPr>
          <w:sz w:val="20"/>
        </w:rPr>
        <w:t>c</w:t>
      </w:r>
      <w:r w:rsidRPr="005A37A7">
        <w:rPr>
          <w:sz w:val="20"/>
          <w:vertAlign w:val="subscript"/>
        </w:rPr>
        <w:t>x,t</w:t>
      </w:r>
      <w:proofErr w:type="spellEnd"/>
      <w:r w:rsidRPr="005A37A7">
        <w:rPr>
          <w:sz w:val="20"/>
        </w:rPr>
        <w:t>=c</w:t>
      </w:r>
      <w:r w:rsidRPr="005A37A7">
        <w:rPr>
          <w:sz w:val="20"/>
          <w:vertAlign w:val="subscript"/>
        </w:rPr>
        <w:t>x,t</w:t>
      </w:r>
      <w:r w:rsidRPr="005A37A7">
        <w:rPr>
          <w:sz w:val="20"/>
        </w:rPr>
        <w:t>-c</w:t>
      </w:r>
      <w:r w:rsidRPr="005A37A7">
        <w:rPr>
          <w:sz w:val="20"/>
          <w:vertAlign w:val="subscript"/>
        </w:rPr>
        <w:t>x,t-1</w:t>
      </w:r>
      <w:r w:rsidRPr="005A37A7">
        <w:rPr>
          <w:sz w:val="20"/>
        </w:rPr>
        <w:t xml:space="preserve">, </w:t>
      </w:r>
      <w:r w:rsidRPr="005A37A7">
        <w:rPr>
          <w:rFonts w:ascii="Symbol" w:hAnsi="Symbol"/>
          <w:sz w:val="20"/>
        </w:rPr>
        <w:t></w:t>
      </w:r>
      <w:proofErr w:type="spellStart"/>
      <w:r w:rsidRPr="005A37A7">
        <w:rPr>
          <w:sz w:val="20"/>
        </w:rPr>
        <w:t>k</w:t>
      </w:r>
      <w:r w:rsidRPr="005A37A7">
        <w:rPr>
          <w:sz w:val="20"/>
          <w:vertAlign w:val="subscript"/>
        </w:rPr>
        <w:t>x,t</w:t>
      </w:r>
      <w:proofErr w:type="spellEnd"/>
      <w:r w:rsidRPr="005A37A7">
        <w:rPr>
          <w:sz w:val="20"/>
        </w:rPr>
        <w:t>=k</w:t>
      </w:r>
      <w:r w:rsidRPr="005A37A7">
        <w:rPr>
          <w:sz w:val="20"/>
          <w:vertAlign w:val="subscript"/>
        </w:rPr>
        <w:t>x,t</w:t>
      </w:r>
      <w:r w:rsidRPr="005A37A7">
        <w:rPr>
          <w:sz w:val="20"/>
        </w:rPr>
        <w:t>-k</w:t>
      </w:r>
      <w:r w:rsidRPr="005A37A7">
        <w:rPr>
          <w:sz w:val="20"/>
          <w:vertAlign w:val="subscript"/>
        </w:rPr>
        <w:t>x,t-1</w:t>
      </w:r>
      <w:r w:rsidRPr="005A37A7">
        <w:rPr>
          <w:sz w:val="20"/>
        </w:rPr>
        <w:t xml:space="preserve">, and </w:t>
      </w:r>
      <w:r w:rsidRPr="005A37A7">
        <w:rPr>
          <w:rFonts w:ascii="Symbol" w:hAnsi="Symbol"/>
          <w:sz w:val="20"/>
        </w:rPr>
        <w:t></w:t>
      </w:r>
      <w:proofErr w:type="spellStart"/>
      <w:r w:rsidRPr="005A37A7">
        <w:rPr>
          <w:sz w:val="20"/>
          <w:vertAlign w:val="subscript"/>
        </w:rPr>
        <w:t>x,t</w:t>
      </w:r>
      <w:proofErr w:type="spellEnd"/>
      <w:r w:rsidRPr="005A37A7">
        <w:rPr>
          <w:sz w:val="20"/>
        </w:rPr>
        <w:t xml:space="preserve"> is the error term. Our main object of interest is the coefficient β</w:t>
      </w:r>
      <w:r w:rsidRPr="005A37A7">
        <w:rPr>
          <w:sz w:val="20"/>
          <w:vertAlign w:val="subscript"/>
        </w:rPr>
        <w:t>2</w:t>
      </w:r>
      <w:r w:rsidRPr="005A37A7">
        <w:rPr>
          <w:sz w:val="20"/>
        </w:rPr>
        <w:t xml:space="preserve">, which we expect to be significantly greater than zero. If this is true, the </w:t>
      </w:r>
      <w:proofErr w:type="spellStart"/>
      <w:r w:rsidRPr="005A37A7">
        <w:rPr>
          <w:sz w:val="20"/>
        </w:rPr>
        <w:t>c</w:t>
      </w:r>
      <w:r w:rsidRPr="005A37A7">
        <w:rPr>
          <w:sz w:val="20"/>
          <w:vertAlign w:val="subscript"/>
        </w:rPr>
        <w:t>x</w:t>
      </w:r>
      <w:proofErr w:type="gramStart"/>
      <w:r w:rsidRPr="005A37A7">
        <w:rPr>
          <w:sz w:val="20"/>
          <w:vertAlign w:val="subscript"/>
        </w:rPr>
        <w:t>,t</w:t>
      </w:r>
      <w:proofErr w:type="spellEnd"/>
      <w:proofErr w:type="gramEnd"/>
      <w:r w:rsidRPr="005A37A7">
        <w:rPr>
          <w:sz w:val="20"/>
        </w:rPr>
        <w:t xml:space="preserve"> series tends to converge on the </w:t>
      </w:r>
      <w:proofErr w:type="spellStart"/>
      <w:r w:rsidRPr="005A37A7">
        <w:rPr>
          <w:sz w:val="20"/>
        </w:rPr>
        <w:t>k</w:t>
      </w:r>
      <w:r w:rsidRPr="005A37A7">
        <w:rPr>
          <w:sz w:val="20"/>
          <w:vertAlign w:val="subscript"/>
        </w:rPr>
        <w:t>x,t</w:t>
      </w:r>
      <w:proofErr w:type="spellEnd"/>
      <w:r w:rsidRPr="005A37A7">
        <w:rPr>
          <w:sz w:val="20"/>
        </w:rPr>
        <w:t xml:space="preserve"> series</w:t>
      </w:r>
      <w:r w:rsidR="00285C1E">
        <w:rPr>
          <w:sz w:val="20"/>
        </w:rPr>
        <w:t xml:space="preserve">. </w:t>
      </w:r>
      <w:r w:rsidRPr="005A37A7">
        <w:rPr>
          <w:sz w:val="20"/>
        </w:rPr>
        <w:t xml:space="preserve">Figure </w:t>
      </w:r>
      <w:proofErr w:type="gramStart"/>
      <w:r w:rsidRPr="005A37A7">
        <w:rPr>
          <w:sz w:val="20"/>
        </w:rPr>
        <w:t>2</w:t>
      </w:r>
      <w:proofErr w:type="gramEnd"/>
      <w:r w:rsidRPr="005A37A7">
        <w:rPr>
          <w:sz w:val="20"/>
        </w:rPr>
        <w:t>, where we drew the profiles of the actual and of the reference age structure at time t-1 of a hypothetical population</w:t>
      </w:r>
      <w:r w:rsidR="00DD4404">
        <w:rPr>
          <w:sz w:val="20"/>
        </w:rPr>
        <w:t>, gives a visual representation of what we expect will happen.</w:t>
      </w:r>
    </w:p>
    <w:p w:rsidR="003B2C25" w:rsidRDefault="002106A0" w:rsidP="003B2C25">
      <w:pPr>
        <w:pStyle w:val="Didascalia2"/>
      </w:pPr>
      <w:r>
        <w:rPr>
          <w:b/>
        </w:rPr>
        <w:br w:type="page"/>
      </w:r>
      <w:r w:rsidR="003B2C25">
        <w:rPr>
          <w:b/>
        </w:rPr>
        <w:lastRenderedPageBreak/>
        <w:t xml:space="preserve">Figure </w:t>
      </w:r>
      <w:r>
        <w:rPr>
          <w:b/>
        </w:rPr>
        <w:t>2</w:t>
      </w:r>
      <w:r w:rsidR="003B2C25">
        <w:rPr>
          <w:b/>
        </w:rPr>
        <w:t>:</w:t>
      </w:r>
      <w:r w:rsidR="003B2C25">
        <w:t xml:space="preserve"> Hypothesised </w:t>
      </w:r>
      <w:r w:rsidR="003B2C25" w:rsidRPr="003B2C25">
        <w:t xml:space="preserve">dynamic of the population structure </w:t>
      </w:r>
    </w:p>
    <w:p w:rsidR="003B2C25" w:rsidRDefault="00EA60F3" w:rsidP="003B2C25">
      <w:pPr>
        <w:pStyle w:val="Maintext"/>
        <w:jc w:val="center"/>
      </w:pPr>
      <w:r w:rsidRPr="003B2C25">
        <w:rPr>
          <w:noProof/>
          <w:lang w:val="it-IT" w:eastAsia="it-IT"/>
        </w:rPr>
        <w:drawing>
          <wp:inline distT="0" distB="0" distL="0" distR="0">
            <wp:extent cx="4329430" cy="2649220"/>
            <wp:effectExtent l="0" t="0" r="0" b="0"/>
            <wp:docPr id="3" name="Immagine 1" descr="Figure2_LongTermConverg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gure2_LongTermConverg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25" w:rsidRPr="00D83C45" w:rsidRDefault="003B2C25" w:rsidP="003B2C25">
      <w:pPr>
        <w:pStyle w:val="Maintext"/>
        <w:rPr>
          <w:sz w:val="16"/>
          <w:szCs w:val="16"/>
        </w:rPr>
      </w:pPr>
      <w:r w:rsidRPr="00D83C45">
        <w:rPr>
          <w:sz w:val="16"/>
          <w:szCs w:val="16"/>
        </w:rPr>
        <w:t xml:space="preserve">Source: </w:t>
      </w:r>
      <w:r>
        <w:rPr>
          <w:sz w:val="16"/>
          <w:szCs w:val="16"/>
        </w:rPr>
        <w:t>Illustrative data.</w:t>
      </w:r>
    </w:p>
    <w:p w:rsidR="00A149DC" w:rsidRDefault="003B2C25">
      <w:pPr>
        <w:pStyle w:val="SectionHeading"/>
        <w:tabs>
          <w:tab w:val="left" w:pos="284"/>
        </w:tabs>
        <w:ind w:left="284" w:hanging="284"/>
      </w:pPr>
      <w:r>
        <w:t>Data and Empirical Results</w:t>
      </w:r>
    </w:p>
    <w:p w:rsidR="00E004E7" w:rsidRDefault="00A06B62" w:rsidP="003B2C25">
      <w:pPr>
        <w:pStyle w:val="Maintextfirstline"/>
        <w:rPr>
          <w:sz w:val="20"/>
        </w:rPr>
      </w:pPr>
      <w:r>
        <w:rPr>
          <w:sz w:val="20"/>
        </w:rPr>
        <w:t>The main</w:t>
      </w:r>
      <w:r w:rsidR="003B2C25">
        <w:rPr>
          <w:sz w:val="20"/>
        </w:rPr>
        <w:t xml:space="preserve"> results</w:t>
      </w:r>
      <w:r>
        <w:rPr>
          <w:sz w:val="20"/>
        </w:rPr>
        <w:t xml:space="preserve"> of our model</w:t>
      </w:r>
      <w:r w:rsidR="002106A0">
        <w:rPr>
          <w:sz w:val="20"/>
        </w:rPr>
        <w:t>, based on the most recent UN (2017) data and estimates,</w:t>
      </w:r>
      <w:r w:rsidR="003B2C25">
        <w:rPr>
          <w:sz w:val="20"/>
        </w:rPr>
        <w:t xml:space="preserve"> </w:t>
      </w:r>
      <w:proofErr w:type="gramStart"/>
      <w:r w:rsidR="003B2C25">
        <w:rPr>
          <w:sz w:val="20"/>
        </w:rPr>
        <w:t>are presented</w:t>
      </w:r>
      <w:proofErr w:type="gramEnd"/>
      <w:r w:rsidR="003B2C25">
        <w:rPr>
          <w:sz w:val="20"/>
        </w:rPr>
        <w:t xml:space="preserve"> in Table </w:t>
      </w:r>
      <w:r w:rsidR="00A149DC" w:rsidRPr="009D0E2A">
        <w:rPr>
          <w:sz w:val="20"/>
        </w:rPr>
        <w:t>1.</w:t>
      </w:r>
      <w:r w:rsidR="000C533C">
        <w:rPr>
          <w:sz w:val="20"/>
        </w:rPr>
        <w:t xml:space="preserve"> </w:t>
      </w:r>
      <w:r w:rsidR="00EB0390">
        <w:rPr>
          <w:sz w:val="20"/>
        </w:rPr>
        <w:t>Note, first</w:t>
      </w:r>
      <w:r>
        <w:rPr>
          <w:sz w:val="20"/>
        </w:rPr>
        <w:t>,</w:t>
      </w:r>
      <w:r w:rsidR="00EB0390">
        <w:rPr>
          <w:sz w:val="20"/>
        </w:rPr>
        <w:t xml:space="preserve"> that each country provides 204 observations: 17 five</w:t>
      </w:r>
      <w:r w:rsidR="00E004E7">
        <w:rPr>
          <w:sz w:val="20"/>
        </w:rPr>
        <w:t>-</w:t>
      </w:r>
      <w:r w:rsidR="00EB0390">
        <w:rPr>
          <w:sz w:val="20"/>
        </w:rPr>
        <w:t>year age classes (</w:t>
      </w:r>
      <w:r w:rsidR="00E004E7">
        <w:rPr>
          <w:sz w:val="20"/>
        </w:rPr>
        <w:t xml:space="preserve">0-4 to 80-84; </w:t>
      </w:r>
      <w:r>
        <w:rPr>
          <w:sz w:val="20"/>
        </w:rPr>
        <w:t xml:space="preserve">while </w:t>
      </w:r>
      <w:r w:rsidR="00E004E7">
        <w:rPr>
          <w:sz w:val="20"/>
        </w:rPr>
        <w:t>the last</w:t>
      </w:r>
      <w:r>
        <w:rPr>
          <w:sz w:val="20"/>
        </w:rPr>
        <w:t>, open-ended</w:t>
      </w:r>
      <w:r w:rsidR="00E004E7">
        <w:rPr>
          <w:sz w:val="20"/>
        </w:rPr>
        <w:t xml:space="preserve"> one, 85 and over</w:t>
      </w:r>
      <w:r>
        <w:rPr>
          <w:sz w:val="20"/>
        </w:rPr>
        <w:t>,</w:t>
      </w:r>
      <w:r w:rsidR="00E004E7">
        <w:rPr>
          <w:sz w:val="20"/>
        </w:rPr>
        <w:t xml:space="preserve"> </w:t>
      </w:r>
      <w:proofErr w:type="gramStart"/>
      <w:r w:rsidR="00E004E7">
        <w:rPr>
          <w:sz w:val="20"/>
        </w:rPr>
        <w:t>is not used</w:t>
      </w:r>
      <w:proofErr w:type="gramEnd"/>
      <w:r w:rsidR="00E004E7">
        <w:rPr>
          <w:sz w:val="20"/>
        </w:rPr>
        <w:t xml:space="preserve"> in the estimates) for 12 five-year periods (1950 to 2015; this makes 13, but we “lose” one, because we work on differences).</w:t>
      </w:r>
    </w:p>
    <w:p w:rsidR="00A149DC" w:rsidRDefault="00E004E7" w:rsidP="00E004E7">
      <w:pPr>
        <w:pStyle w:val="Maintext"/>
        <w:ind w:firstLine="284"/>
      </w:pPr>
      <w:r>
        <w:rPr>
          <w:sz w:val="20"/>
        </w:rPr>
        <w:t xml:space="preserve">The estimates of </w:t>
      </w:r>
      <w:r w:rsidRPr="00E004E7">
        <w:rPr>
          <w:rFonts w:ascii="Symbol" w:hAnsi="Symbol"/>
          <w:sz w:val="20"/>
        </w:rPr>
        <w:t></w:t>
      </w:r>
      <w:r w:rsidRPr="00E004E7">
        <w:rPr>
          <w:sz w:val="20"/>
          <w:vertAlign w:val="subscript"/>
        </w:rPr>
        <w:t>2</w:t>
      </w:r>
      <w:r>
        <w:rPr>
          <w:sz w:val="20"/>
        </w:rPr>
        <w:t xml:space="preserve"> are positive and significant in all </w:t>
      </w:r>
      <w:r w:rsidR="005A37A7">
        <w:rPr>
          <w:sz w:val="20"/>
        </w:rPr>
        <w:t xml:space="preserve">of </w:t>
      </w:r>
      <w:r>
        <w:rPr>
          <w:sz w:val="20"/>
        </w:rPr>
        <w:t xml:space="preserve">the world and in almost all </w:t>
      </w:r>
      <w:r w:rsidR="005A37A7">
        <w:rPr>
          <w:sz w:val="20"/>
        </w:rPr>
        <w:t xml:space="preserve">of </w:t>
      </w:r>
      <w:r>
        <w:rPr>
          <w:sz w:val="20"/>
        </w:rPr>
        <w:t>its (sub</w:t>
      </w:r>
      <w:proofErr w:type="gramStart"/>
      <w:r>
        <w:rPr>
          <w:sz w:val="20"/>
        </w:rPr>
        <w:t>)regions</w:t>
      </w:r>
      <w:proofErr w:type="gramEnd"/>
      <w:r>
        <w:rPr>
          <w:sz w:val="20"/>
        </w:rPr>
        <w:t>. The only exception is Middle Africa, and the reason why this happens is, we submit, the fact that th</w:t>
      </w:r>
      <w:r w:rsidR="002106A0">
        <w:rPr>
          <w:sz w:val="20"/>
        </w:rPr>
        <w:t>is</w:t>
      </w:r>
      <w:r>
        <w:rPr>
          <w:sz w:val="20"/>
        </w:rPr>
        <w:t xml:space="preserve"> part of the world is still going through </w:t>
      </w:r>
      <w:r w:rsidR="00A06B62">
        <w:rPr>
          <w:sz w:val="20"/>
        </w:rPr>
        <w:t>its</w:t>
      </w:r>
      <w:r>
        <w:rPr>
          <w:sz w:val="20"/>
        </w:rPr>
        <w:t xml:space="preserve"> demographic transition, </w:t>
      </w:r>
      <w:r w:rsidR="00A06B62">
        <w:rPr>
          <w:sz w:val="20"/>
        </w:rPr>
        <w:t>which</w:t>
      </w:r>
      <w:r>
        <w:rPr>
          <w:sz w:val="20"/>
        </w:rPr>
        <w:t xml:space="preserve"> is strong enough to obscure the underlying tendency </w:t>
      </w:r>
      <w:r w:rsidR="00A06B62">
        <w:rPr>
          <w:sz w:val="20"/>
        </w:rPr>
        <w:t>(</w:t>
      </w:r>
      <w:r>
        <w:rPr>
          <w:sz w:val="20"/>
        </w:rPr>
        <w:t>convergence</w:t>
      </w:r>
      <w:r w:rsidR="00A06B62">
        <w:rPr>
          <w:sz w:val="20"/>
        </w:rPr>
        <w:t xml:space="preserve"> of c</w:t>
      </w:r>
      <w:r w:rsidR="00A06B62" w:rsidRPr="00A06B62">
        <w:rPr>
          <w:sz w:val="20"/>
          <w:vertAlign w:val="subscript"/>
        </w:rPr>
        <w:t>x</w:t>
      </w:r>
      <w:r w:rsidR="00A06B62">
        <w:rPr>
          <w:sz w:val="20"/>
        </w:rPr>
        <w:t xml:space="preserve"> on </w:t>
      </w:r>
      <w:proofErr w:type="spellStart"/>
      <w:r w:rsidR="00A06B62">
        <w:rPr>
          <w:sz w:val="20"/>
        </w:rPr>
        <w:t>k</w:t>
      </w:r>
      <w:r w:rsidR="00A06B62" w:rsidRPr="00A06B62">
        <w:rPr>
          <w:sz w:val="20"/>
          <w:vertAlign w:val="subscript"/>
        </w:rPr>
        <w:t>x</w:t>
      </w:r>
      <w:proofErr w:type="spellEnd"/>
      <w:r w:rsidR="00A06B62">
        <w:rPr>
          <w:sz w:val="20"/>
        </w:rPr>
        <w:t xml:space="preserve">) </w:t>
      </w:r>
      <w:r>
        <w:rPr>
          <w:sz w:val="20"/>
        </w:rPr>
        <w:t xml:space="preserve">that we </w:t>
      </w:r>
      <w:r w:rsidR="002106A0">
        <w:rPr>
          <w:sz w:val="20"/>
        </w:rPr>
        <w:t xml:space="preserve">are </w:t>
      </w:r>
      <w:r>
        <w:rPr>
          <w:sz w:val="20"/>
        </w:rPr>
        <w:t>focusing on here.</w:t>
      </w:r>
      <w:r w:rsidR="003512FD">
        <w:rPr>
          <w:sz w:val="20"/>
        </w:rPr>
        <w:t xml:space="preserve"> The speed of convergence ranges between 2% and 40%, </w:t>
      </w:r>
      <w:r w:rsidR="00A06B62">
        <w:rPr>
          <w:sz w:val="20"/>
        </w:rPr>
        <w:t xml:space="preserve">depending on the region, and is about </w:t>
      </w:r>
      <w:r w:rsidR="003512FD">
        <w:rPr>
          <w:sz w:val="20"/>
        </w:rPr>
        <w:t>6% at world level</w:t>
      </w:r>
      <w:r w:rsidR="00A06B62">
        <w:rPr>
          <w:sz w:val="20"/>
        </w:rPr>
        <w:t xml:space="preserve">. In other words, </w:t>
      </w:r>
      <w:r w:rsidR="003512FD">
        <w:rPr>
          <w:sz w:val="20"/>
        </w:rPr>
        <w:t xml:space="preserve">on average, 6% of the difference between </w:t>
      </w:r>
      <w:proofErr w:type="spellStart"/>
      <w:r w:rsidR="003512FD">
        <w:rPr>
          <w:sz w:val="20"/>
        </w:rPr>
        <w:t>k</w:t>
      </w:r>
      <w:r w:rsidR="003512FD" w:rsidRPr="003512FD">
        <w:rPr>
          <w:sz w:val="20"/>
          <w:vertAlign w:val="subscript"/>
        </w:rPr>
        <w:t>x,t</w:t>
      </w:r>
      <w:proofErr w:type="spellEnd"/>
      <w:r w:rsidR="003512FD">
        <w:rPr>
          <w:sz w:val="20"/>
        </w:rPr>
        <w:t xml:space="preserve"> (reference age structure) and </w:t>
      </w:r>
      <w:proofErr w:type="spellStart"/>
      <w:r w:rsidR="003512FD">
        <w:rPr>
          <w:sz w:val="20"/>
        </w:rPr>
        <w:t>c</w:t>
      </w:r>
      <w:r w:rsidR="003512FD" w:rsidRPr="003512FD">
        <w:rPr>
          <w:sz w:val="20"/>
          <w:vertAlign w:val="subscript"/>
        </w:rPr>
        <w:t>x,t</w:t>
      </w:r>
      <w:proofErr w:type="spellEnd"/>
      <w:r w:rsidR="003512FD">
        <w:rPr>
          <w:sz w:val="20"/>
        </w:rPr>
        <w:t xml:space="preserve"> (actual age structure) observed in year t disappears 5 years later, because the current age structure tends to move in the “right” direction (see again Figure</w:t>
      </w:r>
      <w:r w:rsidR="00296DFF">
        <w:rPr>
          <w:sz w:val="20"/>
        </w:rPr>
        <w:t>s</w:t>
      </w:r>
      <w:r w:rsidR="003512FD">
        <w:rPr>
          <w:sz w:val="20"/>
        </w:rPr>
        <w:t xml:space="preserve"> 1</w:t>
      </w:r>
      <w:r w:rsidR="00296DFF">
        <w:rPr>
          <w:sz w:val="20"/>
        </w:rPr>
        <w:t xml:space="preserve"> and 2</w:t>
      </w:r>
      <w:r w:rsidR="003512FD">
        <w:rPr>
          <w:sz w:val="20"/>
        </w:rPr>
        <w:t>)</w:t>
      </w:r>
      <w:r w:rsidR="002106A0">
        <w:rPr>
          <w:sz w:val="20"/>
        </w:rPr>
        <w:t>,</w:t>
      </w:r>
      <w:r w:rsidR="003512FD">
        <w:rPr>
          <w:sz w:val="20"/>
        </w:rPr>
        <w:t xml:space="preserve"> which is precisely what we wanted to prove.</w:t>
      </w:r>
    </w:p>
    <w:p w:rsidR="00A149DC" w:rsidRDefault="00A149DC">
      <w:pPr>
        <w:pStyle w:val="Maintext"/>
      </w:pPr>
    </w:p>
    <w:p w:rsidR="00A149DC" w:rsidRDefault="002106A0">
      <w:pPr>
        <w:pStyle w:val="Didascalia2"/>
      </w:pPr>
      <w:r>
        <w:rPr>
          <w:b/>
        </w:rPr>
        <w:br w:type="page"/>
      </w:r>
      <w:r w:rsidR="00A149DC">
        <w:rPr>
          <w:b/>
        </w:rPr>
        <w:lastRenderedPageBreak/>
        <w:t>Table 1:</w:t>
      </w:r>
      <w:r w:rsidR="00A149DC">
        <w:t xml:space="preserve"> </w:t>
      </w:r>
      <w:r w:rsidR="003B2C25" w:rsidRPr="003B2C25">
        <w:t xml:space="preserve">Estimates of equation (1) by UN sub-regions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6"/>
        <w:gridCol w:w="1066"/>
        <w:gridCol w:w="666"/>
        <w:gridCol w:w="941"/>
        <w:gridCol w:w="771"/>
        <w:gridCol w:w="757"/>
        <w:gridCol w:w="714"/>
      </w:tblGrid>
      <w:tr w:rsidR="003B2C25" w:rsidRPr="000C533C" w:rsidTr="004D13A5">
        <w:trPr>
          <w:trHeight w:val="285"/>
        </w:trPr>
        <w:tc>
          <w:tcPr>
            <w:tcW w:w="134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533C">
              <w:rPr>
                <w:b/>
                <w:bCs/>
                <w:color w:val="000000"/>
                <w:sz w:val="18"/>
                <w:szCs w:val="18"/>
              </w:rPr>
              <w:t>SubRegion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0C533C" w:rsidP="00BF4F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#C</w:t>
            </w:r>
            <w:r w:rsidR="003B2C25" w:rsidRPr="000C533C">
              <w:rPr>
                <w:b/>
                <w:bCs/>
                <w:color w:val="000000"/>
                <w:sz w:val="18"/>
                <w:szCs w:val="18"/>
              </w:rPr>
              <w:t>ountries</w:t>
            </w:r>
          </w:p>
        </w:tc>
        <w:tc>
          <w:tcPr>
            <w:tcW w:w="47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33C">
              <w:rPr>
                <w:b/>
                <w:bCs/>
                <w:color w:val="000000"/>
                <w:sz w:val="18"/>
                <w:szCs w:val="18"/>
              </w:rPr>
              <w:t>Obs.</w:t>
            </w:r>
          </w:p>
        </w:tc>
        <w:tc>
          <w:tcPr>
            <w:tcW w:w="67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33C">
              <w:rPr>
                <w:b/>
                <w:bCs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5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0C533C" w:rsidP="00BF4F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mbol" w:hAnsi="Symbol"/>
                <w:b/>
                <w:bCs/>
                <w:color w:val="000000"/>
                <w:sz w:val="18"/>
                <w:szCs w:val="18"/>
              </w:rPr>
              <w:t></w:t>
            </w:r>
            <w:r w:rsidRPr="000C533C">
              <w:rPr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0C533C" w:rsidP="000C53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mbol" w:hAnsi="Symbol"/>
                <w:b/>
                <w:bCs/>
                <w:color w:val="000000"/>
                <w:sz w:val="18"/>
                <w:szCs w:val="18"/>
              </w:rPr>
              <w:t></w:t>
            </w:r>
            <w:r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533C">
              <w:rPr>
                <w:b/>
                <w:bCs/>
                <w:color w:val="000000"/>
                <w:sz w:val="18"/>
                <w:szCs w:val="18"/>
              </w:rPr>
              <w:t>R</w:t>
            </w:r>
            <w:r w:rsidRPr="000C533C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533C">
              <w:rPr>
                <w:b/>
                <w:bCs/>
                <w:color w:val="000000"/>
                <w:sz w:val="18"/>
                <w:szCs w:val="18"/>
              </w:rPr>
              <w:t>World</w:t>
            </w:r>
          </w:p>
        </w:tc>
        <w:tc>
          <w:tcPr>
            <w:tcW w:w="756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47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41004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-2.36E-05</w:t>
            </w:r>
          </w:p>
        </w:tc>
        <w:tc>
          <w:tcPr>
            <w:tcW w:w="54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-0.261*</w:t>
            </w:r>
          </w:p>
        </w:tc>
        <w:tc>
          <w:tcPr>
            <w:tcW w:w="615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0.062*</w:t>
            </w:r>
          </w:p>
        </w:tc>
        <w:tc>
          <w:tcPr>
            <w:tcW w:w="58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0.06</w:t>
            </w:r>
          </w:p>
        </w:tc>
      </w:tr>
      <w:tr w:rsidR="004D13A5" w:rsidRPr="000C533C" w:rsidTr="004D13A5">
        <w:trPr>
          <w:trHeight w:val="285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4D13A5" w:rsidRPr="000C533C" w:rsidRDefault="004D13A5" w:rsidP="00BF4FA4">
            <w:pPr>
              <w:jc w:val="center"/>
              <w:rPr>
                <w:sz w:val="18"/>
                <w:szCs w:val="18"/>
              </w:rPr>
            </w:pPr>
            <w:r w:rsidRPr="000C533C">
              <w:rPr>
                <w:b/>
                <w:bCs/>
                <w:color w:val="000000"/>
                <w:sz w:val="18"/>
                <w:szCs w:val="18"/>
              </w:rPr>
              <w:t>Africa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Eastern Africa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-8.50E-06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-0.183*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0.024*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0.02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Middle Africa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1836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-1.20E-05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-0.336*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FF0000"/>
                <w:sz w:val="18"/>
                <w:szCs w:val="18"/>
              </w:rPr>
            </w:pPr>
            <w:r w:rsidRPr="000C533C">
              <w:rPr>
                <w:color w:val="FF0000"/>
                <w:sz w:val="18"/>
                <w:szCs w:val="18"/>
              </w:rPr>
              <w:t>0.002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0.01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Northern Africa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1428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-3.49E-05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-0.943*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0.078*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0.09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Southern Africa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1.58E-06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FF0000"/>
                <w:sz w:val="18"/>
                <w:szCs w:val="18"/>
              </w:rPr>
            </w:pPr>
            <w:r w:rsidRPr="000C533C">
              <w:rPr>
                <w:color w:val="FF0000"/>
                <w:sz w:val="18"/>
                <w:szCs w:val="18"/>
              </w:rPr>
              <w:t>-0.004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0.024*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0.03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Western Africa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3264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-7.30E-06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-0.380*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0.015*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0.02</w:t>
            </w:r>
          </w:p>
        </w:tc>
      </w:tr>
      <w:tr w:rsidR="004D13A5" w:rsidRPr="000C533C" w:rsidTr="004D13A5">
        <w:trPr>
          <w:trHeight w:val="285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4D13A5" w:rsidRPr="000C533C" w:rsidRDefault="004D13A5" w:rsidP="00BF4FA4">
            <w:pPr>
              <w:jc w:val="center"/>
              <w:rPr>
                <w:sz w:val="18"/>
                <w:szCs w:val="18"/>
              </w:rPr>
            </w:pPr>
            <w:r w:rsidRPr="000C533C">
              <w:rPr>
                <w:b/>
                <w:bCs/>
                <w:color w:val="000000"/>
                <w:sz w:val="18"/>
                <w:szCs w:val="18"/>
              </w:rPr>
              <w:t>America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Caribbean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3468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-6.62E-05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-0.814*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0.113*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0.12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Central America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1632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-7.48E-05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-0.783*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0.063*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0.14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Northern America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-7.84E-05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-0.920*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0.165*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0.14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South America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2652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-8.56E-05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-0.985*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0.078*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0.15</w:t>
            </w:r>
          </w:p>
        </w:tc>
      </w:tr>
      <w:tr w:rsidR="004D13A5" w:rsidRPr="000C533C" w:rsidTr="004D13A5">
        <w:trPr>
          <w:trHeight w:val="285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4D13A5" w:rsidRPr="000C533C" w:rsidRDefault="004D13A5" w:rsidP="00BF4FA4">
            <w:pPr>
              <w:jc w:val="center"/>
              <w:rPr>
                <w:sz w:val="18"/>
                <w:szCs w:val="18"/>
              </w:rPr>
            </w:pPr>
            <w:r w:rsidRPr="000C533C">
              <w:rPr>
                <w:b/>
                <w:bCs/>
                <w:color w:val="000000"/>
                <w:sz w:val="18"/>
                <w:szCs w:val="18"/>
              </w:rPr>
              <w:t>Asia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Eastern Asia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1632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-4.56E-05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-0.674*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0.182*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0.13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South Central Asia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2856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-1.09E-05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-0.634*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0.074*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0.06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South Eastern Asia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2244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8.02E-06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-0.130*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0.074*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0.09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Western Asia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3672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-5.86E-05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-1.257*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0.077*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0.06</w:t>
            </w:r>
          </w:p>
        </w:tc>
      </w:tr>
      <w:tr w:rsidR="004D13A5" w:rsidRPr="000C533C" w:rsidTr="004D13A5">
        <w:trPr>
          <w:trHeight w:val="285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4D13A5" w:rsidRPr="000C533C" w:rsidRDefault="004D13A5" w:rsidP="00BF4FA4">
            <w:pPr>
              <w:jc w:val="center"/>
              <w:rPr>
                <w:sz w:val="18"/>
                <w:szCs w:val="18"/>
              </w:rPr>
            </w:pPr>
            <w:r w:rsidRPr="000C533C">
              <w:rPr>
                <w:b/>
                <w:bCs/>
                <w:color w:val="000000"/>
                <w:sz w:val="18"/>
                <w:szCs w:val="18"/>
              </w:rPr>
              <w:t>Europe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Eastern Europe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3.78E-05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FF0000"/>
                <w:sz w:val="18"/>
                <w:szCs w:val="18"/>
              </w:rPr>
            </w:pPr>
            <w:r w:rsidRPr="000C533C">
              <w:rPr>
                <w:color w:val="FF0000"/>
                <w:sz w:val="18"/>
                <w:szCs w:val="18"/>
              </w:rPr>
              <w:t>-0.107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0.406*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0.23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Northern Europe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2244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4.25E-06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FF0000"/>
                <w:sz w:val="18"/>
                <w:szCs w:val="18"/>
              </w:rPr>
            </w:pPr>
            <w:r w:rsidRPr="000C533C">
              <w:rPr>
                <w:color w:val="FF0000"/>
                <w:sz w:val="18"/>
                <w:szCs w:val="18"/>
              </w:rPr>
              <w:t>0.061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0.202*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0.13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Southern Europe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2448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-2.39E-05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-0.254*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0.188*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0.16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Western Europe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1428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-4.17E-05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-0.434*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0.317*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0.17</w:t>
            </w:r>
          </w:p>
        </w:tc>
      </w:tr>
      <w:tr w:rsidR="004D13A5" w:rsidRPr="000C533C" w:rsidTr="004D13A5">
        <w:trPr>
          <w:trHeight w:val="285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4D13A5" w:rsidRPr="000C533C" w:rsidRDefault="004D13A5" w:rsidP="00BF4FA4">
            <w:pPr>
              <w:jc w:val="center"/>
              <w:rPr>
                <w:sz w:val="18"/>
                <w:szCs w:val="18"/>
              </w:rPr>
            </w:pPr>
            <w:r w:rsidRPr="000C533C">
              <w:rPr>
                <w:b/>
                <w:bCs/>
                <w:color w:val="000000"/>
                <w:sz w:val="18"/>
                <w:szCs w:val="18"/>
              </w:rPr>
              <w:t>Oceania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Australia New Zealand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-5.42E-05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-0.536*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0.138*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0.13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Melanesia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-4.09E-05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-1.038*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0.075*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0.14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Micronesia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676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-6.30E-05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-1.727*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0.089*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0.09</w:t>
            </w:r>
          </w:p>
        </w:tc>
      </w:tr>
      <w:tr w:rsidR="003B2C25" w:rsidRPr="000C533C" w:rsidTr="004D13A5">
        <w:trPr>
          <w:trHeight w:val="285"/>
        </w:trPr>
        <w:tc>
          <w:tcPr>
            <w:tcW w:w="13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Polynesia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-4.26E-05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-0.676*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0.082*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25" w:rsidRPr="000C533C" w:rsidRDefault="003B2C25" w:rsidP="00BF4FA4">
            <w:pPr>
              <w:jc w:val="center"/>
              <w:rPr>
                <w:color w:val="000000"/>
                <w:sz w:val="18"/>
                <w:szCs w:val="18"/>
              </w:rPr>
            </w:pPr>
            <w:r w:rsidRPr="000C533C">
              <w:rPr>
                <w:color w:val="000000"/>
                <w:sz w:val="18"/>
                <w:szCs w:val="18"/>
              </w:rPr>
              <w:t>0.11</w:t>
            </w:r>
          </w:p>
        </w:tc>
      </w:tr>
    </w:tbl>
    <w:p w:rsidR="003B2C25" w:rsidRDefault="004D13A5" w:rsidP="003B2C25">
      <w:pPr>
        <w:pStyle w:val="Maintextfirstline"/>
      </w:pPr>
      <w:r>
        <w:t>Source: Own calculations on UN data</w:t>
      </w:r>
      <w:r w:rsidR="00EB0390">
        <w:t>. The parameters in red are non-significant (</w:t>
      </w:r>
      <w:r w:rsidR="00EB0390" w:rsidRPr="00EB0390">
        <w:rPr>
          <w:rFonts w:ascii="Symbol" w:hAnsi="Symbol"/>
        </w:rPr>
        <w:t></w:t>
      </w:r>
      <w:r w:rsidR="00EB0390">
        <w:t>=5%).</w:t>
      </w:r>
    </w:p>
    <w:p w:rsidR="002106A0" w:rsidRDefault="002106A0" w:rsidP="002106A0">
      <w:pPr>
        <w:pStyle w:val="Maintext"/>
        <w:ind w:firstLine="284"/>
        <w:rPr>
          <w:sz w:val="20"/>
        </w:rPr>
      </w:pPr>
    </w:p>
    <w:p w:rsidR="00E004E7" w:rsidRPr="00A81F4B" w:rsidRDefault="002106A0" w:rsidP="00A81F4B">
      <w:pPr>
        <w:pStyle w:val="Maintext"/>
        <w:ind w:firstLine="284"/>
        <w:rPr>
          <w:sz w:val="20"/>
        </w:rPr>
      </w:pPr>
      <w:r>
        <w:rPr>
          <w:sz w:val="20"/>
        </w:rPr>
        <w:t>To the best of our knowledge, this tendency had thus far gone unnoticed</w:t>
      </w:r>
      <w:r w:rsidR="00296DFF">
        <w:rPr>
          <w:sz w:val="20"/>
        </w:rPr>
        <w:t xml:space="preserve"> in the literature</w:t>
      </w:r>
      <w:r>
        <w:rPr>
          <w:sz w:val="20"/>
        </w:rPr>
        <w:t xml:space="preserve">. </w:t>
      </w:r>
      <w:r w:rsidR="00A81F4B">
        <w:rPr>
          <w:sz w:val="20"/>
        </w:rPr>
        <w:t xml:space="preserve">We venture that there are two main reasons why this happened. The first is that this convergence </w:t>
      </w:r>
      <w:proofErr w:type="gramStart"/>
      <w:r w:rsidR="00A81F4B">
        <w:rPr>
          <w:sz w:val="20"/>
        </w:rPr>
        <w:t>cannot be proved</w:t>
      </w:r>
      <w:proofErr w:type="gramEnd"/>
      <w:r w:rsidR="00A81F4B">
        <w:rPr>
          <w:sz w:val="20"/>
        </w:rPr>
        <w:t xml:space="preserve"> mathematically. Indeed, the reverse is true: there are theoretical cases </w:t>
      </w:r>
      <w:r w:rsidR="00A06B62">
        <w:rPr>
          <w:sz w:val="20"/>
        </w:rPr>
        <w:t xml:space="preserve">(not discussed here) </w:t>
      </w:r>
      <w:r w:rsidR="00A81F4B">
        <w:rPr>
          <w:sz w:val="20"/>
        </w:rPr>
        <w:t xml:space="preserve">in which it </w:t>
      </w:r>
      <w:proofErr w:type="gramStart"/>
      <w:r w:rsidR="00A81F4B">
        <w:rPr>
          <w:sz w:val="20"/>
        </w:rPr>
        <w:t>can be proved</w:t>
      </w:r>
      <w:proofErr w:type="gramEnd"/>
      <w:r w:rsidR="00A81F4B">
        <w:rPr>
          <w:sz w:val="20"/>
        </w:rPr>
        <w:t xml:space="preserve"> that convergence does </w:t>
      </w:r>
      <w:r w:rsidR="00A81F4B" w:rsidRPr="00A81F4B">
        <w:rPr>
          <w:i/>
          <w:sz w:val="20"/>
        </w:rPr>
        <w:t>not</w:t>
      </w:r>
      <w:r w:rsidR="00A81F4B">
        <w:rPr>
          <w:sz w:val="20"/>
        </w:rPr>
        <w:t xml:space="preserve"> take place. The second reason is that convergence is a constant, but weak force</w:t>
      </w:r>
      <w:r w:rsidR="00A06B62">
        <w:rPr>
          <w:sz w:val="20"/>
        </w:rPr>
        <w:t xml:space="preserve">, </w:t>
      </w:r>
      <w:r w:rsidR="00A81F4B">
        <w:rPr>
          <w:sz w:val="20"/>
        </w:rPr>
        <w:t>as ou</w:t>
      </w:r>
      <w:r w:rsidR="00A06B62">
        <w:rPr>
          <w:sz w:val="20"/>
        </w:rPr>
        <w:t xml:space="preserve">r estimates </w:t>
      </w:r>
      <w:r w:rsidR="005A37A7">
        <w:rPr>
          <w:sz w:val="20"/>
        </w:rPr>
        <w:t>of</w:t>
      </w:r>
      <w:r w:rsidR="00A06B62">
        <w:rPr>
          <w:sz w:val="20"/>
        </w:rPr>
        <w:t xml:space="preserve"> </w:t>
      </w:r>
      <w:r w:rsidR="005A37A7">
        <w:rPr>
          <w:sz w:val="20"/>
        </w:rPr>
        <w:t>T</w:t>
      </w:r>
      <w:r w:rsidR="00A06B62">
        <w:rPr>
          <w:sz w:val="20"/>
        </w:rPr>
        <w:t>able 1 indicate</w:t>
      </w:r>
      <w:r w:rsidR="00A81F4B">
        <w:rPr>
          <w:sz w:val="20"/>
        </w:rPr>
        <w:t xml:space="preserve">, which </w:t>
      </w:r>
      <w:proofErr w:type="gramStart"/>
      <w:r w:rsidR="00A81F4B">
        <w:rPr>
          <w:sz w:val="20"/>
        </w:rPr>
        <w:t>is easily obscured by others, such as strong migration flows, or the demographic transition</w:t>
      </w:r>
      <w:proofErr w:type="gramEnd"/>
      <w:r w:rsidR="00A81F4B">
        <w:rPr>
          <w:sz w:val="20"/>
        </w:rPr>
        <w:t xml:space="preserve">. In the </w:t>
      </w:r>
      <w:proofErr w:type="gramStart"/>
      <w:r w:rsidR="00A81F4B">
        <w:rPr>
          <w:sz w:val="20"/>
        </w:rPr>
        <w:t>long run</w:t>
      </w:r>
      <w:proofErr w:type="gramEnd"/>
      <w:r w:rsidR="00A81F4B">
        <w:rPr>
          <w:sz w:val="20"/>
        </w:rPr>
        <w:t xml:space="preserve">, </w:t>
      </w:r>
      <w:r w:rsidR="00A81F4B">
        <w:rPr>
          <w:sz w:val="20"/>
        </w:rPr>
        <w:lastRenderedPageBreak/>
        <w:t>however, or with a sufficient number of observations on data of reasonable quality, this tendency emerges</w:t>
      </w:r>
      <w:r w:rsidR="00285C1E">
        <w:rPr>
          <w:sz w:val="20"/>
        </w:rPr>
        <w:t xml:space="preserve"> and can be detected</w:t>
      </w:r>
      <w:r w:rsidR="00A81F4B">
        <w:rPr>
          <w:sz w:val="20"/>
        </w:rPr>
        <w:t>.</w:t>
      </w:r>
    </w:p>
    <w:p w:rsidR="00A149DC" w:rsidRDefault="003512FD">
      <w:pPr>
        <w:pStyle w:val="SectionHeading"/>
        <w:tabs>
          <w:tab w:val="left" w:pos="284"/>
        </w:tabs>
        <w:ind w:left="284" w:hanging="284"/>
      </w:pPr>
      <w:r>
        <w:t>On the Distance Between the Actual and the Reference Age Structure</w:t>
      </w:r>
    </w:p>
    <w:p w:rsidR="00BC062D" w:rsidRDefault="00A81F4B" w:rsidP="00CB589F">
      <w:pPr>
        <w:pStyle w:val="Maintextfirstline"/>
        <w:rPr>
          <w:sz w:val="20"/>
        </w:rPr>
      </w:pPr>
      <w:r>
        <w:rPr>
          <w:sz w:val="20"/>
        </w:rPr>
        <w:t xml:space="preserve">The distance between the actual </w:t>
      </w:r>
      <w:r w:rsidR="00BC062D">
        <w:rPr>
          <w:sz w:val="20"/>
        </w:rPr>
        <w:t>(</w:t>
      </w:r>
      <w:proofErr w:type="spellStart"/>
      <w:r w:rsidR="00BC062D">
        <w:rPr>
          <w:sz w:val="20"/>
        </w:rPr>
        <w:t>c</w:t>
      </w:r>
      <w:r w:rsidR="00BC062D" w:rsidRPr="00BC062D">
        <w:rPr>
          <w:sz w:val="20"/>
          <w:vertAlign w:val="subscript"/>
        </w:rPr>
        <w:t>x,t</w:t>
      </w:r>
      <w:proofErr w:type="spellEnd"/>
      <w:r w:rsidR="00BC062D">
        <w:rPr>
          <w:sz w:val="20"/>
        </w:rPr>
        <w:t>) and the reference</w:t>
      </w:r>
      <w:r w:rsidR="00BC062D" w:rsidRPr="009D0E2A">
        <w:rPr>
          <w:sz w:val="20"/>
        </w:rPr>
        <w:t xml:space="preserve"> </w:t>
      </w:r>
      <w:r w:rsidR="00BC062D">
        <w:rPr>
          <w:sz w:val="20"/>
        </w:rPr>
        <w:t>age structure (</w:t>
      </w:r>
      <w:proofErr w:type="spellStart"/>
      <w:r w:rsidR="00BC062D">
        <w:rPr>
          <w:sz w:val="20"/>
        </w:rPr>
        <w:t>k</w:t>
      </w:r>
      <w:r w:rsidR="00BC062D" w:rsidRPr="00BC062D">
        <w:rPr>
          <w:sz w:val="20"/>
          <w:vertAlign w:val="subscript"/>
        </w:rPr>
        <w:t>x,t</w:t>
      </w:r>
      <w:proofErr w:type="spellEnd"/>
      <w:r w:rsidR="00BC062D">
        <w:rPr>
          <w:sz w:val="20"/>
        </w:rPr>
        <w:t>) can</w:t>
      </w:r>
      <w:r>
        <w:rPr>
          <w:sz w:val="20"/>
        </w:rPr>
        <w:t xml:space="preserve"> be measured with </w:t>
      </w:r>
      <w:r w:rsidRPr="00A81F4B">
        <w:rPr>
          <w:sz w:val="20"/>
        </w:rPr>
        <w:t>the index of dissimilarity D</w:t>
      </w:r>
      <w:r w:rsidR="00285C1E" w:rsidRPr="00866837">
        <w:rPr>
          <w:sz w:val="20"/>
          <w:vertAlign w:val="subscript"/>
        </w:rPr>
        <w:t>t</w:t>
      </w:r>
      <w:r>
        <w:rPr>
          <w:sz w:val="20"/>
        </w:rPr>
        <w:t xml:space="preserve">, which indicates what share of the population should be in a different age class </w:t>
      </w:r>
      <w:r w:rsidR="00BC062D">
        <w:rPr>
          <w:sz w:val="20"/>
        </w:rPr>
        <w:t>to result in a perfect coincidence between the two</w:t>
      </w:r>
      <w:r w:rsidR="00A06B62">
        <w:rPr>
          <w:sz w:val="20"/>
        </w:rPr>
        <w:t xml:space="preserve"> (c</w:t>
      </w:r>
      <w:r w:rsidR="00A06B62" w:rsidRPr="00A06B62">
        <w:rPr>
          <w:sz w:val="20"/>
          <w:vertAlign w:val="subscript"/>
        </w:rPr>
        <w:t>x</w:t>
      </w:r>
      <w:r w:rsidR="00A06B62">
        <w:rPr>
          <w:sz w:val="20"/>
        </w:rPr>
        <w:t xml:space="preserve"> and </w:t>
      </w:r>
      <w:proofErr w:type="spellStart"/>
      <w:r w:rsidR="00A06B62">
        <w:rPr>
          <w:sz w:val="20"/>
        </w:rPr>
        <w:t>k</w:t>
      </w:r>
      <w:r w:rsidR="00A06B62" w:rsidRPr="00A06B62">
        <w:rPr>
          <w:sz w:val="20"/>
          <w:vertAlign w:val="subscript"/>
        </w:rPr>
        <w:t>x</w:t>
      </w:r>
      <w:proofErr w:type="spellEnd"/>
      <w:r w:rsidR="00A06B62">
        <w:rPr>
          <w:sz w:val="20"/>
        </w:rPr>
        <w:t>)</w:t>
      </w:r>
      <w:r w:rsidR="00285C1E">
        <w:rPr>
          <w:sz w:val="20"/>
        </w:rPr>
        <w:t>, in year t</w:t>
      </w:r>
      <w:r w:rsidR="00BC062D">
        <w:rPr>
          <w:sz w:val="20"/>
        </w:rPr>
        <w:t xml:space="preserve"> </w:t>
      </w:r>
    </w:p>
    <w:p w:rsidR="00BC062D" w:rsidRPr="00BC062D" w:rsidRDefault="00BC062D" w:rsidP="00CB589F">
      <w:pPr>
        <w:pStyle w:val="Formula"/>
      </w:pPr>
      <w:r w:rsidRPr="00B1256B">
        <w:rPr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D</m:t>
            </m:r>
          </m:e>
          <m:sub>
            <m:r>
              <w:rPr>
                <w:rFonts w:ascii="Cambria Math" w:hAnsi="Cambria Math"/>
                <w:lang w:val="en-GB"/>
              </w:rPr>
              <m:t>t</m:t>
            </m:r>
          </m:sub>
        </m:sSub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lang w:val="en-GB"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c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x,t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x,t</m:t>
                    </m:r>
                  </m:sub>
                </m:sSub>
              </m:e>
            </m:d>
          </m:e>
        </m:nary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lang w:val="en-GB"/>
              </w:rPr>
              <m:t>2</m:t>
            </m:r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lang w:val="en-GB"/>
              </w:rPr>
            </m:ctrlPr>
          </m:naryPr>
          <m:sub>
            <m:r>
              <w:rPr>
                <w:rFonts w:ascii="Cambria Math" w:hAnsi="Cambria Math"/>
                <w:lang w:val="en-GB"/>
              </w:rPr>
              <m:t>c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x,t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x,t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0,t</m:t>
                        </m:r>
                      </m:sub>
                    </m:sSub>
                  </m:den>
                </m:f>
              </m:e>
            </m:d>
          </m:e>
        </m:nary>
      </m:oMath>
      <w:r w:rsidRPr="00BC062D">
        <w:tab/>
        <w:t>(</w:t>
      </w:r>
      <w:r>
        <w:t>2</w:t>
      </w:r>
      <w:r w:rsidRPr="00BC062D">
        <w:t>)</w:t>
      </w:r>
    </w:p>
    <w:p w:rsidR="00BC062D" w:rsidRDefault="00BA49CB">
      <w:pPr>
        <w:pStyle w:val="Maintext"/>
        <w:ind w:firstLine="284"/>
        <w:rPr>
          <w:sz w:val="20"/>
        </w:rPr>
      </w:pPr>
      <w:r>
        <w:rPr>
          <w:sz w:val="20"/>
        </w:rPr>
        <w:t xml:space="preserve">By construction, </w:t>
      </w:r>
      <w:proofErr w:type="gramStart"/>
      <w:r>
        <w:rPr>
          <w:sz w:val="20"/>
        </w:rPr>
        <w:t>D</w:t>
      </w:r>
      <w:r w:rsidR="00CB589F" w:rsidRPr="00866837">
        <w:rPr>
          <w:sz w:val="20"/>
          <w:vertAlign w:val="subscript"/>
        </w:rPr>
        <w:t>t</w:t>
      </w:r>
      <w:proofErr w:type="gramEnd"/>
      <w:r>
        <w:rPr>
          <w:sz w:val="20"/>
        </w:rPr>
        <w:t xml:space="preserve"> ranges between 0 and 1, but i</w:t>
      </w:r>
      <w:r w:rsidR="00BC64D8">
        <w:rPr>
          <w:sz w:val="20"/>
        </w:rPr>
        <w:t>n pract</w:t>
      </w:r>
      <w:r>
        <w:rPr>
          <w:sz w:val="20"/>
        </w:rPr>
        <w:t>ice, it is virtually impossible</w:t>
      </w:r>
      <w:r w:rsidR="00BC64D8">
        <w:rPr>
          <w:sz w:val="20"/>
        </w:rPr>
        <w:t xml:space="preserve"> in this </w:t>
      </w:r>
      <w:r w:rsidR="005A37A7">
        <w:rPr>
          <w:sz w:val="20"/>
        </w:rPr>
        <w:t xml:space="preserve">kind of </w:t>
      </w:r>
      <w:r>
        <w:rPr>
          <w:sz w:val="20"/>
        </w:rPr>
        <w:t xml:space="preserve">application (population shares by age classes) </w:t>
      </w:r>
      <w:r w:rsidR="00BC64D8">
        <w:rPr>
          <w:sz w:val="20"/>
        </w:rPr>
        <w:t>to find D</w:t>
      </w:r>
      <w:r w:rsidR="00CB589F" w:rsidRPr="00E06480">
        <w:rPr>
          <w:sz w:val="20"/>
          <w:vertAlign w:val="subscript"/>
        </w:rPr>
        <w:t>t</w:t>
      </w:r>
      <w:r w:rsidR="00BC64D8">
        <w:rPr>
          <w:sz w:val="20"/>
        </w:rPr>
        <w:t xml:space="preserve"> outside the range 5-50% (</w:t>
      </w:r>
      <w:r>
        <w:rPr>
          <w:sz w:val="20"/>
        </w:rPr>
        <w:t>discussion skipped here)</w:t>
      </w:r>
      <w:r w:rsidR="00BC64D8">
        <w:rPr>
          <w:sz w:val="20"/>
        </w:rPr>
        <w:t xml:space="preserve">. </w:t>
      </w:r>
      <w:r w:rsidR="00BC062D">
        <w:rPr>
          <w:sz w:val="20"/>
        </w:rPr>
        <w:t xml:space="preserve">Figure 3 shows that </w:t>
      </w:r>
      <w:proofErr w:type="gramStart"/>
      <w:r w:rsidR="00BC64D8">
        <w:rPr>
          <w:sz w:val="20"/>
        </w:rPr>
        <w:t>D</w:t>
      </w:r>
      <w:r w:rsidR="00CB589F" w:rsidRPr="00E06480">
        <w:rPr>
          <w:sz w:val="20"/>
          <w:vertAlign w:val="subscript"/>
        </w:rPr>
        <w:t>t</w:t>
      </w:r>
      <w:proofErr w:type="gramEnd"/>
      <w:r w:rsidR="00BC64D8">
        <w:rPr>
          <w:sz w:val="20"/>
        </w:rPr>
        <w:t xml:space="preserve"> (dissimilarity, or distance) </w:t>
      </w:r>
      <w:r w:rsidR="005A37A7">
        <w:rPr>
          <w:sz w:val="20"/>
        </w:rPr>
        <w:t>has</w:t>
      </w:r>
      <w:r w:rsidR="00BC062D">
        <w:rPr>
          <w:sz w:val="20"/>
        </w:rPr>
        <w:t xml:space="preserve"> not decrease</w:t>
      </w:r>
      <w:r w:rsidR="005A37A7">
        <w:rPr>
          <w:sz w:val="20"/>
        </w:rPr>
        <w:t>d</w:t>
      </w:r>
      <w:r w:rsidR="00BC062D">
        <w:rPr>
          <w:sz w:val="20"/>
        </w:rPr>
        <w:t xml:space="preserve"> monotonically </w:t>
      </w:r>
      <w:r w:rsidR="005A37A7">
        <w:rPr>
          <w:sz w:val="20"/>
        </w:rPr>
        <w:t xml:space="preserve">in the past </w:t>
      </w:r>
      <w:r w:rsidR="00103470">
        <w:rPr>
          <w:sz w:val="20"/>
        </w:rPr>
        <w:t>65 years</w:t>
      </w:r>
      <w:r w:rsidR="00BC062D">
        <w:rPr>
          <w:sz w:val="20"/>
        </w:rPr>
        <w:t xml:space="preserve">, as </w:t>
      </w:r>
      <w:r>
        <w:rPr>
          <w:sz w:val="20"/>
        </w:rPr>
        <w:t>our</w:t>
      </w:r>
      <w:r w:rsidR="00BC062D">
        <w:rPr>
          <w:sz w:val="20"/>
        </w:rPr>
        <w:t xml:space="preserve"> model </w:t>
      </w:r>
      <w:r>
        <w:rPr>
          <w:sz w:val="20"/>
        </w:rPr>
        <w:t xml:space="preserve">(1) </w:t>
      </w:r>
      <w:r w:rsidR="00BC64D8">
        <w:rPr>
          <w:sz w:val="20"/>
        </w:rPr>
        <w:t>predict</w:t>
      </w:r>
      <w:r>
        <w:rPr>
          <w:sz w:val="20"/>
        </w:rPr>
        <w:t>s</w:t>
      </w:r>
      <w:r w:rsidR="00BC062D">
        <w:rPr>
          <w:sz w:val="20"/>
        </w:rPr>
        <w:t>: we argue that this is due to the fact that, in the “short” run, other forces prevail, first of all the demographic transition.</w:t>
      </w:r>
      <w:r w:rsidR="00BC64D8">
        <w:rPr>
          <w:sz w:val="20"/>
        </w:rPr>
        <w:t xml:space="preserve"> </w:t>
      </w:r>
    </w:p>
    <w:p w:rsidR="005C3CCD" w:rsidRDefault="005C3CCD">
      <w:pPr>
        <w:pStyle w:val="Maintext"/>
        <w:ind w:firstLine="284"/>
        <w:rPr>
          <w:sz w:val="20"/>
        </w:rPr>
      </w:pPr>
    </w:p>
    <w:p w:rsidR="00BC062D" w:rsidRDefault="00BC062D" w:rsidP="00BC062D">
      <w:pPr>
        <w:pStyle w:val="Didascalia2"/>
      </w:pPr>
      <w:r>
        <w:rPr>
          <w:b/>
        </w:rPr>
        <w:t>Figure 3:</w:t>
      </w:r>
      <w:r>
        <w:t xml:space="preserve"> Dissimilarity index </w:t>
      </w:r>
      <w:proofErr w:type="gramStart"/>
      <w:r>
        <w:t>D</w:t>
      </w:r>
      <w:r w:rsidR="00CB589F" w:rsidRPr="00E06480">
        <w:rPr>
          <w:sz w:val="20"/>
          <w:vertAlign w:val="subscript"/>
        </w:rPr>
        <w:t>t</w:t>
      </w:r>
      <w:proofErr w:type="gramEnd"/>
      <w:r>
        <w:t xml:space="preserve"> between the actual (</w:t>
      </w:r>
      <w:proofErr w:type="spellStart"/>
      <w:r>
        <w:t>c</w:t>
      </w:r>
      <w:r w:rsidR="00CB589F" w:rsidRPr="00E06480">
        <w:rPr>
          <w:sz w:val="20"/>
          <w:vertAlign w:val="subscript"/>
        </w:rPr>
        <w:t>t</w:t>
      </w:r>
      <w:proofErr w:type="spellEnd"/>
      <w:r>
        <w:t>) and the reference (</w:t>
      </w:r>
      <w:proofErr w:type="spellStart"/>
      <w:r>
        <w:t>k</w:t>
      </w:r>
      <w:r w:rsidR="00CB589F" w:rsidRPr="00E06480">
        <w:rPr>
          <w:sz w:val="20"/>
          <w:vertAlign w:val="subscript"/>
        </w:rPr>
        <w:t>t</w:t>
      </w:r>
      <w:proofErr w:type="spellEnd"/>
      <w:r>
        <w:t>) age structure in selected world areas, 1950-2015</w:t>
      </w:r>
      <w:r w:rsidRPr="003B2C25">
        <w:t xml:space="preserve"> </w:t>
      </w:r>
    </w:p>
    <w:p w:rsidR="00BC062D" w:rsidRDefault="00EA60F3" w:rsidP="00BC062D">
      <w:pPr>
        <w:pStyle w:val="Maintext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4347210" cy="2646045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4D8" w:rsidRDefault="00BC062D" w:rsidP="00BC062D">
      <w:pPr>
        <w:pStyle w:val="Maintext"/>
        <w:rPr>
          <w:sz w:val="16"/>
          <w:szCs w:val="16"/>
        </w:rPr>
      </w:pPr>
      <w:r>
        <w:rPr>
          <w:sz w:val="16"/>
          <w:szCs w:val="16"/>
        </w:rPr>
        <w:t>Note: MDC=More Developed Countries; Less</w:t>
      </w:r>
      <w:r w:rsidR="00BC64D8">
        <w:rPr>
          <w:sz w:val="16"/>
          <w:szCs w:val="16"/>
        </w:rPr>
        <w:t>/Least</w:t>
      </w:r>
      <w:r>
        <w:rPr>
          <w:sz w:val="16"/>
          <w:szCs w:val="16"/>
        </w:rPr>
        <w:t>=Less</w:t>
      </w:r>
      <w:r w:rsidR="00BC64D8">
        <w:rPr>
          <w:sz w:val="16"/>
          <w:szCs w:val="16"/>
        </w:rPr>
        <w:t>/Least</w:t>
      </w:r>
      <w:r>
        <w:rPr>
          <w:sz w:val="16"/>
          <w:szCs w:val="16"/>
        </w:rPr>
        <w:t xml:space="preserve"> Developed Countries</w:t>
      </w:r>
    </w:p>
    <w:p w:rsidR="00BC062D" w:rsidRDefault="00BC062D" w:rsidP="00BC062D">
      <w:pPr>
        <w:pStyle w:val="Maintext"/>
        <w:rPr>
          <w:sz w:val="16"/>
          <w:szCs w:val="16"/>
        </w:rPr>
      </w:pPr>
      <w:r w:rsidRPr="00D83C45">
        <w:rPr>
          <w:sz w:val="16"/>
          <w:szCs w:val="16"/>
        </w:rPr>
        <w:t xml:space="preserve">Source: </w:t>
      </w:r>
      <w:r>
        <w:rPr>
          <w:sz w:val="16"/>
          <w:szCs w:val="16"/>
        </w:rPr>
        <w:t>UN (2017) and own calculations.</w:t>
      </w:r>
    </w:p>
    <w:p w:rsidR="005C3CCD" w:rsidRDefault="005C3CCD" w:rsidP="00BC062D">
      <w:pPr>
        <w:pStyle w:val="Maintext"/>
        <w:rPr>
          <w:sz w:val="16"/>
          <w:szCs w:val="16"/>
        </w:rPr>
      </w:pPr>
    </w:p>
    <w:p w:rsidR="005C3CCD" w:rsidRDefault="005C3CCD" w:rsidP="005C3CCD">
      <w:pPr>
        <w:pStyle w:val="Maintext"/>
        <w:ind w:firstLine="284"/>
        <w:rPr>
          <w:sz w:val="20"/>
        </w:rPr>
      </w:pPr>
      <w:r>
        <w:rPr>
          <w:sz w:val="20"/>
        </w:rPr>
        <w:lastRenderedPageBreak/>
        <w:t>Indeed, in more developed countries (whose demographic transition took place in the late 19th-early 20th century</w:t>
      </w:r>
      <w:r w:rsidR="00103470">
        <w:rPr>
          <w:sz w:val="20"/>
        </w:rPr>
        <w:t>, i.e.</w:t>
      </w:r>
      <w:r w:rsidR="00CB589F">
        <w:rPr>
          <w:sz w:val="20"/>
        </w:rPr>
        <w:t>,</w:t>
      </w:r>
      <w:r w:rsidR="00103470">
        <w:rPr>
          <w:sz w:val="20"/>
        </w:rPr>
        <w:t xml:space="preserve"> left of the time </w:t>
      </w:r>
      <w:r w:rsidR="00CB589F">
        <w:rPr>
          <w:sz w:val="20"/>
        </w:rPr>
        <w:t xml:space="preserve">scale </w:t>
      </w:r>
      <w:r w:rsidR="00103470">
        <w:rPr>
          <w:sz w:val="20"/>
        </w:rPr>
        <w:t>displayed in Figure 3</w:t>
      </w:r>
      <w:r>
        <w:rPr>
          <w:sz w:val="20"/>
        </w:rPr>
        <w:t>)</w:t>
      </w:r>
      <w:r w:rsidR="00103470">
        <w:rPr>
          <w:sz w:val="20"/>
        </w:rPr>
        <w:t>,</w:t>
      </w:r>
      <w:r>
        <w:rPr>
          <w:sz w:val="20"/>
        </w:rPr>
        <w:t xml:space="preserve"> </w:t>
      </w:r>
      <w:proofErr w:type="gramStart"/>
      <w:r>
        <w:rPr>
          <w:sz w:val="20"/>
        </w:rPr>
        <w:t>D</w:t>
      </w:r>
      <w:r w:rsidR="00CB589F" w:rsidRPr="00866837">
        <w:rPr>
          <w:sz w:val="20"/>
          <w:vertAlign w:val="subscript"/>
        </w:rPr>
        <w:t>t</w:t>
      </w:r>
      <w:proofErr w:type="gramEnd"/>
      <w:r>
        <w:rPr>
          <w:sz w:val="20"/>
        </w:rPr>
        <w:t xml:space="preserve"> does decrease over time and is today about as low as it can reasonably be. In less developed countries, </w:t>
      </w:r>
      <w:proofErr w:type="gramStart"/>
      <w:r w:rsidR="00BA49CB">
        <w:rPr>
          <w:sz w:val="20"/>
        </w:rPr>
        <w:t>D</w:t>
      </w:r>
      <w:r w:rsidR="00CB589F" w:rsidRPr="00866837">
        <w:rPr>
          <w:sz w:val="20"/>
          <w:vertAlign w:val="subscript"/>
        </w:rPr>
        <w:t>t</w:t>
      </w:r>
      <w:proofErr w:type="gramEnd"/>
      <w:r w:rsidR="00BA49CB">
        <w:rPr>
          <w:sz w:val="20"/>
        </w:rPr>
        <w:t xml:space="preserve"> </w:t>
      </w:r>
      <w:r w:rsidR="00BA49CB" w:rsidRPr="00BA49CB">
        <w:rPr>
          <w:i/>
          <w:sz w:val="20"/>
        </w:rPr>
        <w:t>increased</w:t>
      </w:r>
      <w:r w:rsidR="00BA49CB">
        <w:rPr>
          <w:sz w:val="20"/>
        </w:rPr>
        <w:t xml:space="preserve"> </w:t>
      </w:r>
      <w:r>
        <w:rPr>
          <w:sz w:val="20"/>
        </w:rPr>
        <w:t xml:space="preserve">until </w:t>
      </w:r>
      <w:r w:rsidR="00BA49CB">
        <w:rPr>
          <w:sz w:val="20"/>
        </w:rPr>
        <w:t xml:space="preserve">the </w:t>
      </w:r>
      <w:r>
        <w:rPr>
          <w:sz w:val="20"/>
        </w:rPr>
        <w:t>1980s</w:t>
      </w:r>
      <w:r w:rsidR="00103470">
        <w:rPr>
          <w:sz w:val="20"/>
        </w:rPr>
        <w:t xml:space="preserve"> (</w:t>
      </w:r>
      <w:r>
        <w:rPr>
          <w:sz w:val="20"/>
        </w:rPr>
        <w:t>precisely because of the biases produced by the ongoing demographic transition following WW2</w:t>
      </w:r>
      <w:r w:rsidR="00103470">
        <w:rPr>
          <w:sz w:val="20"/>
        </w:rPr>
        <w:t>) and decreased later</w:t>
      </w:r>
      <w:r>
        <w:rPr>
          <w:sz w:val="20"/>
        </w:rPr>
        <w:t>. In the least</w:t>
      </w:r>
      <w:r w:rsidR="00234A8B">
        <w:rPr>
          <w:sz w:val="20"/>
        </w:rPr>
        <w:t xml:space="preserve"> developed countries (basically,</w:t>
      </w:r>
      <w:r>
        <w:rPr>
          <w:sz w:val="20"/>
        </w:rPr>
        <w:t xml:space="preserve"> Sub-Saharan Africa) convergence is not yet taking place</w:t>
      </w:r>
      <w:r w:rsidR="00BA49CB">
        <w:rPr>
          <w:sz w:val="20"/>
        </w:rPr>
        <w:t>, and the two age structures (</w:t>
      </w:r>
      <w:proofErr w:type="spellStart"/>
      <w:r w:rsidR="00BA49CB">
        <w:rPr>
          <w:sz w:val="20"/>
        </w:rPr>
        <w:t>c</w:t>
      </w:r>
      <w:r w:rsidR="00BA49CB" w:rsidRPr="00BA49CB">
        <w:rPr>
          <w:sz w:val="20"/>
          <w:vertAlign w:val="subscript"/>
        </w:rPr>
        <w:t>x</w:t>
      </w:r>
      <w:proofErr w:type="gramStart"/>
      <w:r w:rsidR="00CB589F">
        <w:rPr>
          <w:sz w:val="20"/>
          <w:vertAlign w:val="subscript"/>
        </w:rPr>
        <w:t>,t</w:t>
      </w:r>
      <w:proofErr w:type="spellEnd"/>
      <w:proofErr w:type="gramEnd"/>
      <w:r w:rsidR="00BA49CB">
        <w:rPr>
          <w:sz w:val="20"/>
        </w:rPr>
        <w:t xml:space="preserve"> and </w:t>
      </w:r>
      <w:proofErr w:type="spellStart"/>
      <w:r w:rsidR="00BA49CB">
        <w:rPr>
          <w:sz w:val="20"/>
        </w:rPr>
        <w:t>k</w:t>
      </w:r>
      <w:r w:rsidR="00BA49CB" w:rsidRPr="00BA49CB">
        <w:rPr>
          <w:sz w:val="20"/>
          <w:vertAlign w:val="subscript"/>
        </w:rPr>
        <w:t>x</w:t>
      </w:r>
      <w:r w:rsidR="00CB589F">
        <w:rPr>
          <w:sz w:val="20"/>
          <w:vertAlign w:val="subscript"/>
        </w:rPr>
        <w:t>,t</w:t>
      </w:r>
      <w:proofErr w:type="spellEnd"/>
      <w:r w:rsidR="00BA49CB">
        <w:rPr>
          <w:sz w:val="20"/>
        </w:rPr>
        <w:t xml:space="preserve">) </w:t>
      </w:r>
      <w:r w:rsidR="00103470">
        <w:rPr>
          <w:sz w:val="20"/>
        </w:rPr>
        <w:t>remain</w:t>
      </w:r>
      <w:r w:rsidR="00BA49CB">
        <w:rPr>
          <w:sz w:val="20"/>
        </w:rPr>
        <w:t xml:space="preserve"> far from each other.</w:t>
      </w:r>
      <w:r>
        <w:rPr>
          <w:sz w:val="20"/>
        </w:rPr>
        <w:t xml:space="preserve"> (</w:t>
      </w:r>
      <w:r w:rsidR="00BA49CB">
        <w:rPr>
          <w:sz w:val="20"/>
        </w:rPr>
        <w:t xml:space="preserve">Convergence will occur </w:t>
      </w:r>
      <w:r>
        <w:rPr>
          <w:sz w:val="20"/>
        </w:rPr>
        <w:t xml:space="preserve">in the next decades, </w:t>
      </w:r>
      <w:r w:rsidR="00BA49CB">
        <w:rPr>
          <w:sz w:val="20"/>
        </w:rPr>
        <w:t xml:space="preserve">according to </w:t>
      </w:r>
      <w:r>
        <w:rPr>
          <w:sz w:val="20"/>
        </w:rPr>
        <w:t>the UN Projections</w:t>
      </w:r>
      <w:r w:rsidR="00103470">
        <w:rPr>
          <w:sz w:val="20"/>
        </w:rPr>
        <w:t xml:space="preserve">, but this </w:t>
      </w:r>
      <w:proofErr w:type="gramStart"/>
      <w:r w:rsidR="00103470">
        <w:rPr>
          <w:sz w:val="20"/>
        </w:rPr>
        <w:t xml:space="preserve">is </w:t>
      </w:r>
      <w:r>
        <w:rPr>
          <w:sz w:val="20"/>
        </w:rPr>
        <w:t xml:space="preserve">not shown </w:t>
      </w:r>
      <w:r w:rsidR="00103470">
        <w:rPr>
          <w:sz w:val="20"/>
        </w:rPr>
        <w:t xml:space="preserve">or discussed </w:t>
      </w:r>
      <w:r>
        <w:rPr>
          <w:sz w:val="20"/>
        </w:rPr>
        <w:t>here</w:t>
      </w:r>
      <w:proofErr w:type="gramEnd"/>
      <w:r w:rsidR="00BA49CB">
        <w:rPr>
          <w:sz w:val="20"/>
        </w:rPr>
        <w:t>.)</w:t>
      </w:r>
    </w:p>
    <w:p w:rsidR="001F1ACE" w:rsidRDefault="001F1ACE" w:rsidP="001F1ACE">
      <w:pPr>
        <w:pStyle w:val="SectionHeading"/>
        <w:tabs>
          <w:tab w:val="left" w:pos="284"/>
        </w:tabs>
        <w:ind w:left="284" w:hanging="284"/>
      </w:pPr>
      <w:r>
        <w:t>So what?</w:t>
      </w:r>
    </w:p>
    <w:p w:rsidR="001F1ACE" w:rsidRDefault="00BA49CB" w:rsidP="001F1ACE">
      <w:pPr>
        <w:pStyle w:val="Maintextfirstline"/>
        <w:rPr>
          <w:sz w:val="20"/>
        </w:rPr>
      </w:pPr>
      <w:r>
        <w:rPr>
          <w:sz w:val="20"/>
        </w:rPr>
        <w:t xml:space="preserve">Our finding has </w:t>
      </w:r>
      <w:r w:rsidR="001F1ACE">
        <w:rPr>
          <w:sz w:val="20"/>
        </w:rPr>
        <w:t xml:space="preserve">several important implications, which we cannot fully develop here, for reasons of space. For instance, it </w:t>
      </w:r>
      <w:r>
        <w:rPr>
          <w:sz w:val="20"/>
        </w:rPr>
        <w:t>affects</w:t>
      </w:r>
      <w:r w:rsidR="001F1ACE">
        <w:rPr>
          <w:sz w:val="20"/>
        </w:rPr>
        <w:t xml:space="preserve"> the ongoing debate on the main causes of population ageing: is it (mainly) due to low fertility or low mortality? Our answer is simple: as the current age structure </w:t>
      </w:r>
      <w:proofErr w:type="spellStart"/>
      <w:r w:rsidR="001F1ACE">
        <w:rPr>
          <w:sz w:val="20"/>
        </w:rPr>
        <w:t>c</w:t>
      </w:r>
      <w:r w:rsidR="001F1ACE" w:rsidRPr="001F1ACE">
        <w:rPr>
          <w:sz w:val="20"/>
          <w:vertAlign w:val="subscript"/>
        </w:rPr>
        <w:t>x</w:t>
      </w:r>
      <w:proofErr w:type="gramStart"/>
      <w:r w:rsidR="00CB589F">
        <w:rPr>
          <w:sz w:val="20"/>
          <w:vertAlign w:val="subscript"/>
        </w:rPr>
        <w:t>,t</w:t>
      </w:r>
      <w:proofErr w:type="spellEnd"/>
      <w:proofErr w:type="gramEnd"/>
      <w:r w:rsidR="001F1ACE">
        <w:rPr>
          <w:sz w:val="20"/>
        </w:rPr>
        <w:t xml:space="preserve"> tends to “move” towards its reference counterpart </w:t>
      </w:r>
      <w:proofErr w:type="spellStart"/>
      <w:r w:rsidR="001F1ACE">
        <w:rPr>
          <w:sz w:val="20"/>
        </w:rPr>
        <w:t>k</w:t>
      </w:r>
      <w:r w:rsidR="001F1ACE" w:rsidRPr="001F1ACE">
        <w:rPr>
          <w:sz w:val="20"/>
          <w:vertAlign w:val="subscript"/>
        </w:rPr>
        <w:t>x</w:t>
      </w:r>
      <w:r w:rsidR="00CB589F">
        <w:rPr>
          <w:sz w:val="20"/>
          <w:vertAlign w:val="subscript"/>
        </w:rPr>
        <w:t>,t</w:t>
      </w:r>
      <w:proofErr w:type="spellEnd"/>
      <w:r w:rsidR="001F1ACE">
        <w:rPr>
          <w:sz w:val="20"/>
        </w:rPr>
        <w:t xml:space="preserve">, which depends exclusively on survival, lower mortality is the underlying force that </w:t>
      </w:r>
      <w:r w:rsidR="00103470">
        <w:rPr>
          <w:sz w:val="20"/>
        </w:rPr>
        <w:t xml:space="preserve">(slowly) </w:t>
      </w:r>
      <w:r w:rsidR="001F1ACE">
        <w:rPr>
          <w:sz w:val="20"/>
        </w:rPr>
        <w:t>drives the process of population ageing. Deviations from this path can be important</w:t>
      </w:r>
      <w:r>
        <w:rPr>
          <w:sz w:val="20"/>
        </w:rPr>
        <w:t>,</w:t>
      </w:r>
      <w:r w:rsidR="001F1ACE">
        <w:rPr>
          <w:sz w:val="20"/>
        </w:rPr>
        <w:t xml:space="preserve"> and </w:t>
      </w:r>
      <w:r>
        <w:rPr>
          <w:sz w:val="20"/>
        </w:rPr>
        <w:t xml:space="preserve">they can </w:t>
      </w:r>
      <w:r w:rsidR="001F1ACE">
        <w:rPr>
          <w:sz w:val="20"/>
        </w:rPr>
        <w:t xml:space="preserve">last for some years, </w:t>
      </w:r>
      <w:r>
        <w:rPr>
          <w:sz w:val="20"/>
        </w:rPr>
        <w:t xml:space="preserve">or </w:t>
      </w:r>
      <w:r w:rsidR="001F1ACE">
        <w:rPr>
          <w:sz w:val="20"/>
        </w:rPr>
        <w:t xml:space="preserve">even decades, but eventually the “attraction” of </w:t>
      </w:r>
      <w:proofErr w:type="spellStart"/>
      <w:r w:rsidR="001F1ACE">
        <w:rPr>
          <w:sz w:val="20"/>
        </w:rPr>
        <w:t>k</w:t>
      </w:r>
      <w:r w:rsidR="001F1ACE" w:rsidRPr="001F1ACE">
        <w:rPr>
          <w:sz w:val="20"/>
          <w:vertAlign w:val="subscript"/>
        </w:rPr>
        <w:t>x</w:t>
      </w:r>
      <w:proofErr w:type="gramStart"/>
      <w:r w:rsidR="00CB589F">
        <w:rPr>
          <w:sz w:val="20"/>
          <w:vertAlign w:val="subscript"/>
        </w:rPr>
        <w:t>,t</w:t>
      </w:r>
      <w:proofErr w:type="spellEnd"/>
      <w:proofErr w:type="gramEnd"/>
      <w:r w:rsidR="001F1ACE">
        <w:rPr>
          <w:sz w:val="20"/>
        </w:rPr>
        <w:t xml:space="preserve"> (i.e., </w:t>
      </w:r>
      <w:r>
        <w:rPr>
          <w:sz w:val="20"/>
        </w:rPr>
        <w:t xml:space="preserve">the dominant role </w:t>
      </w:r>
      <w:r w:rsidR="001F1ACE">
        <w:rPr>
          <w:sz w:val="20"/>
        </w:rPr>
        <w:t xml:space="preserve">of </w:t>
      </w:r>
      <w:r>
        <w:rPr>
          <w:sz w:val="20"/>
        </w:rPr>
        <w:t>the mortality regime</w:t>
      </w:r>
      <w:r w:rsidR="001F1ACE">
        <w:rPr>
          <w:sz w:val="20"/>
        </w:rPr>
        <w:t>) prevails.</w:t>
      </w:r>
    </w:p>
    <w:p w:rsidR="001F1ACE" w:rsidRDefault="001F1ACE" w:rsidP="001F1ACE">
      <w:pPr>
        <w:pStyle w:val="Maintext"/>
        <w:ind w:firstLine="284"/>
        <w:rPr>
          <w:sz w:val="20"/>
        </w:rPr>
      </w:pPr>
      <w:r>
        <w:rPr>
          <w:sz w:val="20"/>
        </w:rPr>
        <w:t>A second application</w:t>
      </w:r>
      <w:r w:rsidR="00234A8B">
        <w:rPr>
          <w:sz w:val="20"/>
        </w:rPr>
        <w:t xml:space="preserve"> (among others)</w:t>
      </w:r>
      <w:r>
        <w:rPr>
          <w:sz w:val="20"/>
        </w:rPr>
        <w:t xml:space="preserve"> is in </w:t>
      </w:r>
      <w:r w:rsidR="00234A8B">
        <w:rPr>
          <w:sz w:val="20"/>
        </w:rPr>
        <w:t xml:space="preserve">the field of pension systems. Our finding suggests that pension systems should be designed giving </w:t>
      </w:r>
      <w:r w:rsidR="00BA49CB">
        <w:rPr>
          <w:sz w:val="20"/>
        </w:rPr>
        <w:t xml:space="preserve">emphasis to </w:t>
      </w:r>
      <w:r w:rsidR="00234A8B">
        <w:rPr>
          <w:sz w:val="20"/>
        </w:rPr>
        <w:t xml:space="preserve">the reference age structure </w:t>
      </w:r>
      <w:proofErr w:type="spellStart"/>
      <w:r w:rsidR="00234A8B">
        <w:rPr>
          <w:sz w:val="20"/>
        </w:rPr>
        <w:t>k</w:t>
      </w:r>
      <w:r w:rsidR="00234A8B" w:rsidRPr="00234A8B">
        <w:rPr>
          <w:sz w:val="20"/>
          <w:vertAlign w:val="subscript"/>
        </w:rPr>
        <w:t>x</w:t>
      </w:r>
      <w:proofErr w:type="gramStart"/>
      <w:r w:rsidR="00CB589F">
        <w:rPr>
          <w:sz w:val="20"/>
          <w:vertAlign w:val="subscript"/>
        </w:rPr>
        <w:t>,t</w:t>
      </w:r>
      <w:proofErr w:type="spellEnd"/>
      <w:proofErr w:type="gramEnd"/>
      <w:r w:rsidR="00CB589F">
        <w:rPr>
          <w:sz w:val="20"/>
        </w:rPr>
        <w:t xml:space="preserve"> and to its evolution over time, </w:t>
      </w:r>
      <w:r w:rsidR="00234A8B">
        <w:rPr>
          <w:sz w:val="20"/>
        </w:rPr>
        <w:t xml:space="preserve">as the current age structure </w:t>
      </w:r>
      <w:proofErr w:type="spellStart"/>
      <w:r w:rsidR="00234A8B">
        <w:rPr>
          <w:sz w:val="20"/>
        </w:rPr>
        <w:t>c</w:t>
      </w:r>
      <w:r w:rsidR="00234A8B" w:rsidRPr="00234A8B">
        <w:rPr>
          <w:sz w:val="20"/>
          <w:vertAlign w:val="subscript"/>
        </w:rPr>
        <w:t>x</w:t>
      </w:r>
      <w:r w:rsidR="00CB589F">
        <w:rPr>
          <w:sz w:val="20"/>
          <w:vertAlign w:val="subscript"/>
        </w:rPr>
        <w:t>,t</w:t>
      </w:r>
      <w:proofErr w:type="spellEnd"/>
      <w:r w:rsidR="00234A8B">
        <w:rPr>
          <w:sz w:val="20"/>
        </w:rPr>
        <w:t xml:space="preserve"> will eventually converge towards it. This takes time, admittedly, but pension systems are, or at least should be, </w:t>
      </w:r>
      <w:r w:rsidR="00CB589F">
        <w:rPr>
          <w:sz w:val="20"/>
        </w:rPr>
        <w:t xml:space="preserve">intended </w:t>
      </w:r>
      <w:r w:rsidR="00AD3BE5">
        <w:rPr>
          <w:sz w:val="20"/>
        </w:rPr>
        <w:t>to last for very many years:</w:t>
      </w:r>
      <w:r w:rsidR="00234A8B">
        <w:rPr>
          <w:sz w:val="20"/>
        </w:rPr>
        <w:t xml:space="preserve"> to base them on the reference age structure </w:t>
      </w:r>
      <w:proofErr w:type="spellStart"/>
      <w:r w:rsidR="00234A8B">
        <w:rPr>
          <w:sz w:val="20"/>
        </w:rPr>
        <w:t>k</w:t>
      </w:r>
      <w:r w:rsidR="00234A8B" w:rsidRPr="00234A8B">
        <w:rPr>
          <w:sz w:val="20"/>
          <w:vertAlign w:val="subscript"/>
        </w:rPr>
        <w:t>x</w:t>
      </w:r>
      <w:proofErr w:type="gramStart"/>
      <w:r w:rsidR="00CB589F">
        <w:rPr>
          <w:sz w:val="20"/>
          <w:vertAlign w:val="subscript"/>
        </w:rPr>
        <w:t>,t</w:t>
      </w:r>
      <w:proofErr w:type="spellEnd"/>
      <w:proofErr w:type="gramEnd"/>
      <w:r w:rsidR="00234A8B">
        <w:rPr>
          <w:sz w:val="20"/>
        </w:rPr>
        <w:t xml:space="preserve"> would make them much more long-lasting </w:t>
      </w:r>
      <w:r w:rsidR="00AD3BE5">
        <w:rPr>
          <w:sz w:val="20"/>
        </w:rPr>
        <w:t xml:space="preserve">and robust </w:t>
      </w:r>
      <w:r w:rsidR="00234A8B">
        <w:rPr>
          <w:sz w:val="20"/>
        </w:rPr>
        <w:t>than they usually are</w:t>
      </w:r>
      <w:r>
        <w:rPr>
          <w:sz w:val="20"/>
        </w:rPr>
        <w:t>.</w:t>
      </w:r>
    </w:p>
    <w:p w:rsidR="002F4154" w:rsidRDefault="002F4154" w:rsidP="002F4154">
      <w:pPr>
        <w:pStyle w:val="References"/>
      </w:pPr>
      <w:r>
        <w:t>Acknowledgements</w:t>
      </w:r>
    </w:p>
    <w:p w:rsidR="002F4154" w:rsidRDefault="00CB79CB" w:rsidP="00CB79CB">
      <w:pPr>
        <w:pStyle w:val="Maintextfirstline"/>
        <w:rPr>
          <w:sz w:val="20"/>
        </w:rPr>
      </w:pPr>
      <w:r>
        <w:rPr>
          <w:sz w:val="20"/>
        </w:rPr>
        <w:t>We t</w:t>
      </w:r>
      <w:r w:rsidRPr="00CB79CB">
        <w:rPr>
          <w:sz w:val="20"/>
        </w:rPr>
        <w:t xml:space="preserve">hank the </w:t>
      </w:r>
      <w:r>
        <w:rPr>
          <w:sz w:val="20"/>
        </w:rPr>
        <w:t xml:space="preserve">CREW </w:t>
      </w:r>
      <w:r w:rsidRPr="00CB79CB">
        <w:rPr>
          <w:sz w:val="20"/>
        </w:rPr>
        <w:t xml:space="preserve">group for early feedback on this </w:t>
      </w:r>
      <w:r>
        <w:rPr>
          <w:sz w:val="20"/>
        </w:rPr>
        <w:t>paper (CREW=</w:t>
      </w:r>
      <w:r w:rsidRPr="00CB79CB">
        <w:rPr>
          <w:sz w:val="20"/>
        </w:rPr>
        <w:t>Care, Retirement and Wellbeing of Older People across Different</w:t>
      </w:r>
      <w:r>
        <w:rPr>
          <w:sz w:val="20"/>
        </w:rPr>
        <w:t xml:space="preserve"> </w:t>
      </w:r>
      <w:r w:rsidRPr="00CB79CB">
        <w:rPr>
          <w:sz w:val="20"/>
        </w:rPr>
        <w:t>Welfare Regimes</w:t>
      </w:r>
      <w:r>
        <w:rPr>
          <w:sz w:val="20"/>
        </w:rPr>
        <w:t xml:space="preserve">; </w:t>
      </w:r>
      <w:hyperlink r:id="rId11" w:history="1">
        <w:r w:rsidRPr="00163712">
          <w:rPr>
            <w:rStyle w:val="Collegamentoipertestuale"/>
            <w:sz w:val="20"/>
          </w:rPr>
          <w:t>https://crew-more-years-better-lives.org/</w:t>
        </w:r>
      </w:hyperlink>
      <w:r>
        <w:rPr>
          <w:sz w:val="20"/>
        </w:rPr>
        <w:t>).</w:t>
      </w:r>
    </w:p>
    <w:p w:rsidR="00A149DC" w:rsidRDefault="00A149DC">
      <w:pPr>
        <w:pStyle w:val="References"/>
      </w:pPr>
      <w:r>
        <w:t>References</w:t>
      </w:r>
    </w:p>
    <w:p w:rsidR="00A149DC" w:rsidRPr="00234A8B" w:rsidRDefault="002106A0" w:rsidP="00234A8B">
      <w:pPr>
        <w:pStyle w:val="Referenceslist"/>
        <w:ind w:left="360" w:hanging="360"/>
        <w:rPr>
          <w:rFonts w:eastAsia="Times New Roman"/>
          <w:szCs w:val="16"/>
        </w:rPr>
      </w:pPr>
      <w:r w:rsidRPr="002106A0">
        <w:rPr>
          <w:rFonts w:eastAsia="Times New Roman"/>
          <w:szCs w:val="16"/>
        </w:rPr>
        <w:t xml:space="preserve">UN. 2017. World population prospects, Population Division, Department of Economic and Social Affairs, New York </w:t>
      </w:r>
    </w:p>
    <w:sectPr w:rsidR="00A149DC" w:rsidRPr="00234A8B" w:rsidSect="004D13A5">
      <w:headerReference w:type="even" r:id="rId12"/>
      <w:headerReference w:type="default" r:id="rId13"/>
      <w:footnotePr>
        <w:numRestart w:val="eachPage"/>
      </w:footnotePr>
      <w:pgSz w:w="11905" w:h="16837" w:code="9"/>
      <w:pgMar w:top="1928" w:right="2552" w:bottom="4026" w:left="25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89" w:rsidRDefault="00E01D89">
      <w:r>
        <w:separator/>
      </w:r>
    </w:p>
  </w:endnote>
  <w:endnote w:type="continuationSeparator" w:id="0">
    <w:p w:rsidR="00E01D89" w:rsidRDefault="00E0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No9L-Medi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89" w:rsidRDefault="00E01D89">
      <w:r>
        <w:separator/>
      </w:r>
    </w:p>
  </w:footnote>
  <w:footnote w:type="continuationSeparator" w:id="0">
    <w:p w:rsidR="00E01D89" w:rsidRDefault="00E01D89">
      <w:r>
        <w:continuationSeparator/>
      </w:r>
    </w:p>
  </w:footnote>
  <w:footnote w:id="1">
    <w:p w:rsidR="00A149DC" w:rsidRPr="007E41C4" w:rsidRDefault="00A149DC">
      <w:pPr>
        <w:pStyle w:val="Testonotaapidipagina"/>
        <w:spacing w:after="60"/>
        <w:rPr>
          <w:rStyle w:val="AffiliationCarattere"/>
        </w:rPr>
      </w:pPr>
      <w:r>
        <w:rPr>
          <w:rStyle w:val="Caratteredellanota"/>
        </w:rPr>
        <w:footnoteRef/>
      </w:r>
      <w:r w:rsidRPr="007E41C4">
        <w:rPr>
          <w:rStyle w:val="AffiliationCarattere"/>
        </w:rPr>
        <w:tab/>
      </w:r>
      <w:r w:rsidR="007E41C4" w:rsidRPr="007E41C4">
        <w:rPr>
          <w:rStyle w:val="AffiliationCarattere"/>
        </w:rPr>
        <w:t xml:space="preserve">Gustavo De </w:t>
      </w:r>
      <w:proofErr w:type="spellStart"/>
      <w:r w:rsidR="007E41C4" w:rsidRPr="007E41C4">
        <w:rPr>
          <w:rStyle w:val="AffiliationCarattere"/>
        </w:rPr>
        <w:t>Santis</w:t>
      </w:r>
      <w:proofErr w:type="spellEnd"/>
      <w:r w:rsidRPr="007E41C4">
        <w:rPr>
          <w:rStyle w:val="AffiliationCarattere"/>
        </w:rPr>
        <w:t xml:space="preserve">, </w:t>
      </w:r>
      <w:r w:rsidR="007E41C4" w:rsidRPr="007E41C4">
        <w:rPr>
          <w:rStyle w:val="AffiliationCarattere"/>
        </w:rPr>
        <w:t>University of Florence</w:t>
      </w:r>
      <w:r w:rsidRPr="007E41C4">
        <w:rPr>
          <w:rStyle w:val="AffiliationCarattere"/>
        </w:rPr>
        <w:t xml:space="preserve">; email: </w:t>
      </w:r>
      <w:r w:rsidR="007E41C4" w:rsidRPr="007E41C4">
        <w:rPr>
          <w:rStyle w:val="AffiliationCarattere"/>
        </w:rPr>
        <w:t>gustavo.desantis@unifi.it</w:t>
      </w:r>
      <w:r w:rsidR="002F4154">
        <w:rPr>
          <w:rStyle w:val="AffiliationCarattere"/>
        </w:rPr>
        <w:t>;</w:t>
      </w:r>
    </w:p>
    <w:p w:rsidR="00A149DC" w:rsidRPr="002F4154" w:rsidRDefault="00A149DC" w:rsidP="002F4154">
      <w:pPr>
        <w:pStyle w:val="Testonotaapidipagina"/>
        <w:spacing w:after="60"/>
        <w:rPr>
          <w:rStyle w:val="AffiliationCarattere"/>
        </w:rPr>
      </w:pPr>
      <w:r w:rsidRPr="007E41C4">
        <w:rPr>
          <w:rStyle w:val="AffiliationCarattere"/>
        </w:rPr>
        <w:tab/>
      </w:r>
      <w:proofErr w:type="spellStart"/>
      <w:r w:rsidR="007E41C4" w:rsidRPr="002F4154">
        <w:rPr>
          <w:rStyle w:val="AffiliationCarattere"/>
        </w:rPr>
        <w:t>Giambattista</w:t>
      </w:r>
      <w:proofErr w:type="spellEnd"/>
      <w:r w:rsidR="007E41C4" w:rsidRPr="002F4154">
        <w:rPr>
          <w:rStyle w:val="AffiliationCarattere"/>
        </w:rPr>
        <w:t xml:space="preserve"> </w:t>
      </w:r>
      <w:proofErr w:type="spellStart"/>
      <w:r w:rsidR="007E41C4" w:rsidRPr="002F4154">
        <w:rPr>
          <w:rStyle w:val="AffiliationCarattere"/>
        </w:rPr>
        <w:t>Salinari</w:t>
      </w:r>
      <w:proofErr w:type="spellEnd"/>
      <w:r w:rsidRPr="002F4154">
        <w:rPr>
          <w:rStyle w:val="AffiliationCarattere"/>
        </w:rPr>
        <w:t xml:space="preserve">, </w:t>
      </w:r>
      <w:r w:rsidR="002F4154" w:rsidRPr="002F4154">
        <w:rPr>
          <w:rStyle w:val="AffiliationCarattere"/>
        </w:rPr>
        <w:t>University of Sassari</w:t>
      </w:r>
      <w:r w:rsidRPr="002F4154">
        <w:rPr>
          <w:rStyle w:val="AffiliationCarattere"/>
        </w:rPr>
        <w:t>;</w:t>
      </w:r>
      <w:r w:rsidR="002F4154" w:rsidRPr="002F4154">
        <w:rPr>
          <w:rStyle w:val="AffiliationCarattere"/>
        </w:rPr>
        <w:t xml:space="preserve"> email: gsalinari@uniss.it.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DC" w:rsidRPr="00234A8B" w:rsidRDefault="00A149DC">
    <w:pPr>
      <w:pStyle w:val="Intestazione"/>
      <w:tabs>
        <w:tab w:val="clear" w:pos="4819"/>
        <w:tab w:val="center" w:pos="5103"/>
      </w:tabs>
      <w:spacing w:before="1200"/>
      <w:rPr>
        <w:rStyle w:val="Numeropagina"/>
        <w:sz w:val="16"/>
        <w:lang w:val="it-IT"/>
      </w:rPr>
    </w:pPr>
    <w:r w:rsidRPr="00234A8B">
      <w:rPr>
        <w:rStyle w:val="Numeropagina"/>
        <w:sz w:val="16"/>
        <w:lang w:val="it-IT"/>
      </w:rPr>
      <w:t xml:space="preserve"> PAGE </w:t>
    </w:r>
    <w:r w:rsidR="00CB589F">
      <w:rPr>
        <w:rStyle w:val="Numeropagina"/>
        <w:noProof/>
        <w:sz w:val="16"/>
        <w:lang w:val="it-IT"/>
      </w:rPr>
      <w:t>6</w:t>
    </w:r>
    <w:r w:rsidRPr="00234A8B">
      <w:rPr>
        <w:rStyle w:val="Numeropagina"/>
        <w:sz w:val="16"/>
        <w:lang w:val="it-IT"/>
      </w:rPr>
      <w:tab/>
    </w:r>
    <w:r w:rsidR="00234A8B" w:rsidRPr="00234A8B">
      <w:rPr>
        <w:rStyle w:val="Numeropagina"/>
        <w:sz w:val="16"/>
        <w:lang w:val="it-IT"/>
      </w:rPr>
      <w:t xml:space="preserve">Gustavo De </w:t>
    </w:r>
    <w:proofErr w:type="spellStart"/>
    <w:r w:rsidR="00234A8B" w:rsidRPr="00234A8B">
      <w:rPr>
        <w:rStyle w:val="Numeropagina"/>
        <w:sz w:val="16"/>
        <w:lang w:val="it-IT"/>
      </w:rPr>
      <w:t>Santis</w:t>
    </w:r>
    <w:proofErr w:type="spellEnd"/>
    <w:r w:rsidR="00234A8B" w:rsidRPr="00234A8B">
      <w:rPr>
        <w:rStyle w:val="Numeropagina"/>
        <w:sz w:val="16"/>
        <w:lang w:val="it-IT"/>
      </w:rPr>
      <w:t xml:space="preserve"> and Giambattista Salinari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DC" w:rsidRDefault="00234A8B">
    <w:pPr>
      <w:pStyle w:val="Intestazione"/>
      <w:tabs>
        <w:tab w:val="clear" w:pos="4819"/>
        <w:tab w:val="center" w:pos="6237"/>
      </w:tabs>
      <w:spacing w:before="1200"/>
    </w:pPr>
    <w:r w:rsidRPr="00234A8B">
      <w:rPr>
        <w:sz w:val="16"/>
      </w:rPr>
      <w:t>Where the Current Age Structure is Heading</w:t>
    </w:r>
    <w:r w:rsidR="00A149DC">
      <w:rPr>
        <w:sz w:val="16"/>
      </w:rPr>
      <w:tab/>
    </w:r>
    <w:r w:rsidR="00A149DC">
      <w:rPr>
        <w:rStyle w:val="Numeropagina"/>
        <w:sz w:val="16"/>
      </w:rPr>
      <w:t xml:space="preserve"> PAGE </w:t>
    </w:r>
    <w:r w:rsidR="00CB589F">
      <w:rPr>
        <w:rStyle w:val="Numeropagina"/>
        <w:noProof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pStyle w:val="References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00000003"/>
    <w:multiLevelType w:val="multilevel"/>
    <w:tmpl w:val="292CC79A"/>
    <w:name w:val="WW8Num13"/>
    <w:lvl w:ilvl="0">
      <w:start w:val="1"/>
      <w:numFmt w:val="decimal"/>
      <w:pStyle w:val="Titolo4"/>
      <w:lvlText w:val="%1"/>
      <w:lvlJc w:val="left"/>
      <w:pPr>
        <w:tabs>
          <w:tab w:val="num" w:pos="284"/>
        </w:tabs>
        <w:ind w:left="284" w:hanging="284"/>
      </w:pPr>
      <w:rPr>
        <w:lang w:val="en-GB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F7"/>
    <w:rsid w:val="000216F1"/>
    <w:rsid w:val="000420BB"/>
    <w:rsid w:val="00057D76"/>
    <w:rsid w:val="000C533C"/>
    <w:rsid w:val="000E1593"/>
    <w:rsid w:val="00103470"/>
    <w:rsid w:val="00114064"/>
    <w:rsid w:val="00120180"/>
    <w:rsid w:val="00124376"/>
    <w:rsid w:val="001709D9"/>
    <w:rsid w:val="001E7F91"/>
    <w:rsid w:val="001F1ACE"/>
    <w:rsid w:val="002106A0"/>
    <w:rsid w:val="00234A8B"/>
    <w:rsid w:val="00274762"/>
    <w:rsid w:val="00285C1E"/>
    <w:rsid w:val="00296DFF"/>
    <w:rsid w:val="002C7740"/>
    <w:rsid w:val="002E13E2"/>
    <w:rsid w:val="002F4154"/>
    <w:rsid w:val="00350688"/>
    <w:rsid w:val="003512FD"/>
    <w:rsid w:val="00380902"/>
    <w:rsid w:val="003B2C25"/>
    <w:rsid w:val="003E45FD"/>
    <w:rsid w:val="00411D9B"/>
    <w:rsid w:val="004B0FC2"/>
    <w:rsid w:val="004D13A5"/>
    <w:rsid w:val="00547704"/>
    <w:rsid w:val="005A37A7"/>
    <w:rsid w:val="005C3CCD"/>
    <w:rsid w:val="005D19F1"/>
    <w:rsid w:val="006736BA"/>
    <w:rsid w:val="0069648D"/>
    <w:rsid w:val="006B60DE"/>
    <w:rsid w:val="006D0CAF"/>
    <w:rsid w:val="007E41C4"/>
    <w:rsid w:val="00824493"/>
    <w:rsid w:val="00866837"/>
    <w:rsid w:val="009C19FC"/>
    <w:rsid w:val="009D0E2A"/>
    <w:rsid w:val="009F3127"/>
    <w:rsid w:val="00A06B62"/>
    <w:rsid w:val="00A149B1"/>
    <w:rsid w:val="00A149DC"/>
    <w:rsid w:val="00A81F4B"/>
    <w:rsid w:val="00A856F7"/>
    <w:rsid w:val="00AB183F"/>
    <w:rsid w:val="00AB54F1"/>
    <w:rsid w:val="00AD3BE5"/>
    <w:rsid w:val="00B13F5B"/>
    <w:rsid w:val="00B45649"/>
    <w:rsid w:val="00B57475"/>
    <w:rsid w:val="00BA49CB"/>
    <w:rsid w:val="00BC062D"/>
    <w:rsid w:val="00BC64D8"/>
    <w:rsid w:val="00BF4FA4"/>
    <w:rsid w:val="00C007C5"/>
    <w:rsid w:val="00C71975"/>
    <w:rsid w:val="00CB589F"/>
    <w:rsid w:val="00CB79CB"/>
    <w:rsid w:val="00CF2537"/>
    <w:rsid w:val="00D55A10"/>
    <w:rsid w:val="00D8151E"/>
    <w:rsid w:val="00DD4404"/>
    <w:rsid w:val="00E004E7"/>
    <w:rsid w:val="00E01D89"/>
    <w:rsid w:val="00E43556"/>
    <w:rsid w:val="00E87ACC"/>
    <w:rsid w:val="00EA5C85"/>
    <w:rsid w:val="00EA60F3"/>
    <w:rsid w:val="00EB0390"/>
    <w:rsid w:val="00EC0A90"/>
    <w:rsid w:val="00EC78EF"/>
    <w:rsid w:val="00F1022F"/>
    <w:rsid w:val="00F22574"/>
    <w:rsid w:val="00F42E0B"/>
    <w:rsid w:val="00F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8B0E0D-EECB-4BB8-8568-1DC1770F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688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numId w:val="3"/>
      </w:numPr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tabs>
        <w:tab w:val="num" w:pos="284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tabs>
        <w:tab w:val="num" w:pos="284"/>
      </w:tabs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tabs>
        <w:tab w:val="num" w:pos="284"/>
      </w:tabs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tabs>
        <w:tab w:val="num" w:pos="284"/>
      </w:tabs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tabs>
        <w:tab w:val="num" w:pos="2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WW-Caratteredellanota">
    <w:name w:val="WW-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PapertitleCarattere">
    <w:name w:val="Paper title Carattere"/>
    <w:rPr>
      <w:rFonts w:cs="NimbusRomNo9L-Medi"/>
      <w:b/>
      <w:sz w:val="30"/>
      <w:szCs w:val="32"/>
      <w:lang w:val="it-IT" w:eastAsia="ar-SA" w:bidi="ar-SA"/>
    </w:rPr>
  </w:style>
  <w:style w:type="character" w:customStyle="1" w:styleId="AuthorCarattereCarattere">
    <w:name w:val="Author Carattere Carattere"/>
    <w:rPr>
      <w:sz w:val="18"/>
      <w:szCs w:val="18"/>
      <w:lang w:val="it-IT" w:eastAsia="ar-SA" w:bidi="ar-SA"/>
    </w:rPr>
  </w:style>
  <w:style w:type="character" w:customStyle="1" w:styleId="AffiliationCarattere">
    <w:name w:val="Affiliation Carattere"/>
    <w:rPr>
      <w:sz w:val="16"/>
      <w:lang w:val="en-US" w:eastAsia="ar-SA" w:bidi="ar-SA"/>
    </w:rPr>
  </w:style>
  <w:style w:type="character" w:customStyle="1" w:styleId="Keywordsheading">
    <w:name w:val="Keywords heading"/>
    <w:rPr>
      <w:rFonts w:ascii="Garamond" w:hAnsi="Garamond"/>
      <w:b/>
      <w:sz w:val="23"/>
      <w:lang w:val="en-US"/>
    </w:rPr>
  </w:style>
  <w:style w:type="character" w:customStyle="1" w:styleId="KeywordsCarattere">
    <w:name w:val="Keywords Carattere"/>
    <w:rPr>
      <w:rFonts w:ascii="Garamond" w:hAnsi="Garamond"/>
      <w:sz w:val="23"/>
      <w:lang w:val="en-US" w:eastAsia="ar-SA" w:bidi="ar-SA"/>
    </w:rPr>
  </w:style>
  <w:style w:type="character" w:customStyle="1" w:styleId="Stile1">
    <w:name w:val="Stile1"/>
    <w:basedOn w:val="Keywordsheading"/>
    <w:rPr>
      <w:rFonts w:ascii="Garamond" w:hAnsi="Garamond"/>
      <w:b/>
      <w:sz w:val="23"/>
      <w:lang w:val="en-US"/>
    </w:rPr>
  </w:style>
  <w:style w:type="character" w:customStyle="1" w:styleId="CaptionCarattere">
    <w:name w:val="Caption Carattere"/>
    <w:rPr>
      <w:sz w:val="16"/>
      <w:szCs w:val="24"/>
      <w:lang w:val="en-GB" w:eastAsia="ar-SA" w:bidi="ar-SA"/>
    </w:rPr>
  </w:style>
  <w:style w:type="character" w:customStyle="1" w:styleId="MaintextCarattere">
    <w:name w:val="Main text Carattere"/>
    <w:rPr>
      <w:sz w:val="18"/>
      <w:lang w:val="en-GB" w:eastAsia="ar-SA" w:bidi="ar-SA"/>
    </w:rPr>
  </w:style>
  <w:style w:type="character" w:customStyle="1" w:styleId="MaintextfirstlineCarattere">
    <w:name w:val="Main text: first line Carattere"/>
    <w:basedOn w:val="MaintextCarattere"/>
    <w:rPr>
      <w:sz w:val="18"/>
      <w:lang w:val="en-GB" w:eastAsia="ar-SA" w:bidi="ar-SA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SectionHeadingCarattere">
    <w:name w:val="Section Heading Carattere"/>
    <w:rPr>
      <w:b/>
      <w:sz w:val="23"/>
      <w:lang w:val="en-US" w:eastAsia="ar-SA" w:bidi="ar-SA"/>
    </w:rPr>
  </w:style>
  <w:style w:type="character" w:customStyle="1" w:styleId="SubsectionheadingCarattereCarattere">
    <w:name w:val="Subsection heading Carattere Carattere"/>
    <w:rPr>
      <w:b/>
      <w:i/>
      <w:sz w:val="23"/>
      <w:szCs w:val="24"/>
      <w:lang w:val="en-US" w:eastAsia="ar-SA" w:bidi="ar-SA"/>
    </w:rPr>
  </w:style>
  <w:style w:type="character" w:customStyle="1" w:styleId="SubsubsectionheadingCarattereCarattere">
    <w:name w:val="Subsubsection heading Carattere Carattere"/>
    <w:rPr>
      <w:b/>
      <w:i/>
      <w:sz w:val="19"/>
      <w:szCs w:val="24"/>
      <w:lang w:val="it-IT" w:eastAsia="ar-SA" w:bidi="ar-SA"/>
    </w:rPr>
  </w:style>
  <w:style w:type="character" w:styleId="AcronimoHTML">
    <w:name w:val="HTML Acronym"/>
    <w:basedOn w:val="Carpredefinitoparagrafo1"/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1"/>
    <w:semiHidden/>
  </w:style>
  <w:style w:type="character" w:customStyle="1" w:styleId="CaptionCarattere1">
    <w:name w:val="Caption Carattere1"/>
    <w:rPr>
      <w:sz w:val="16"/>
      <w:szCs w:val="24"/>
      <w:lang w:val="en-GB" w:eastAsia="ar-SA" w:bidi="ar-SA"/>
    </w:rPr>
  </w:style>
  <w:style w:type="character" w:customStyle="1" w:styleId="Footnoteanchor">
    <w:name w:val="Footnote anchor"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notaapidipagina">
    <w:name w:val="footnote text"/>
    <w:basedOn w:val="Normale"/>
    <w:semiHidden/>
  </w:style>
  <w:style w:type="paragraph" w:styleId="Testonotadichiusura">
    <w:name w:val="endnote text"/>
    <w:basedOn w:val="Normale"/>
    <w:semiHidden/>
  </w:style>
  <w:style w:type="paragraph" w:customStyle="1" w:styleId="Papertitle">
    <w:name w:val="Paper title"/>
    <w:basedOn w:val="Normale"/>
    <w:next w:val="Author"/>
    <w:pPr>
      <w:spacing w:after="454"/>
    </w:pPr>
    <w:rPr>
      <w:rFonts w:cs="NimbusRomNo9L-Medi"/>
      <w:b/>
      <w:sz w:val="30"/>
      <w:szCs w:val="32"/>
      <w:lang w:val="it-IT"/>
    </w:rPr>
  </w:style>
  <w:style w:type="paragraph" w:customStyle="1" w:styleId="SectionHeading">
    <w:name w:val="Section Heading"/>
    <w:basedOn w:val="Normale"/>
    <w:next w:val="Maintextfirstline"/>
    <w:pPr>
      <w:tabs>
        <w:tab w:val="num" w:pos="284"/>
      </w:tabs>
      <w:spacing w:before="624" w:after="340"/>
    </w:pPr>
    <w:rPr>
      <w:b/>
      <w:sz w:val="24"/>
      <w:lang w:val="en-US"/>
    </w:rPr>
  </w:style>
  <w:style w:type="paragraph" w:customStyle="1" w:styleId="Subsectionheading">
    <w:name w:val="Subsection heading"/>
    <w:basedOn w:val="SectionHeading"/>
    <w:next w:val="Maintextfirstline"/>
    <w:pPr>
      <w:spacing w:after="240"/>
    </w:pPr>
    <w:rPr>
      <w:i/>
      <w:szCs w:val="24"/>
    </w:rPr>
  </w:style>
  <w:style w:type="paragraph" w:customStyle="1" w:styleId="Subsubsectionheading">
    <w:name w:val="Subsubsection heading"/>
    <w:basedOn w:val="Subsectionheading"/>
    <w:pPr>
      <w:spacing w:after="284"/>
    </w:pPr>
    <w:rPr>
      <w:i w:val="0"/>
      <w:sz w:val="19"/>
      <w:szCs w:val="20"/>
      <w:lang w:val="it-IT"/>
    </w:rPr>
  </w:style>
  <w:style w:type="paragraph" w:customStyle="1" w:styleId="Author">
    <w:name w:val="Author"/>
    <w:basedOn w:val="Normale"/>
    <w:next w:val="Affiliation"/>
    <w:pPr>
      <w:spacing w:after="2438"/>
    </w:pPr>
    <w:rPr>
      <w:sz w:val="18"/>
      <w:szCs w:val="18"/>
      <w:lang w:val="it-IT"/>
    </w:rPr>
  </w:style>
  <w:style w:type="paragraph" w:customStyle="1" w:styleId="Affiliation">
    <w:name w:val="Affiliation"/>
    <w:basedOn w:val="Normale"/>
    <w:rPr>
      <w:sz w:val="16"/>
      <w:lang w:val="en-US"/>
    </w:rPr>
  </w:style>
  <w:style w:type="paragraph" w:customStyle="1" w:styleId="Keywords">
    <w:name w:val="Keywords"/>
    <w:basedOn w:val="Normale"/>
    <w:next w:val="SectionHeading"/>
    <w:pPr>
      <w:spacing w:before="240"/>
    </w:pPr>
    <w:rPr>
      <w:rFonts w:ascii="Garamond" w:hAnsi="Garamond"/>
      <w:sz w:val="23"/>
      <w:lang w:val="en-US"/>
    </w:rPr>
  </w:style>
  <w:style w:type="paragraph" w:customStyle="1" w:styleId="References">
    <w:name w:val="References"/>
    <w:basedOn w:val="Normale"/>
    <w:pPr>
      <w:spacing w:before="480" w:after="240"/>
      <w:jc w:val="both"/>
    </w:pPr>
    <w:rPr>
      <w:b/>
      <w:sz w:val="24"/>
      <w:lang w:val="en-US"/>
    </w:rPr>
  </w:style>
  <w:style w:type="paragraph" w:customStyle="1" w:styleId="Maintext">
    <w:name w:val="Main text"/>
    <w:basedOn w:val="Normale"/>
    <w:pPr>
      <w:jc w:val="both"/>
    </w:pPr>
    <w:rPr>
      <w:sz w:val="18"/>
    </w:rPr>
  </w:style>
  <w:style w:type="paragraph" w:customStyle="1" w:styleId="Maintextfirstline">
    <w:name w:val="Main text: first line"/>
    <w:next w:val="Maintext"/>
    <w:pPr>
      <w:suppressAutoHyphens/>
      <w:jc w:val="both"/>
    </w:pPr>
    <w:rPr>
      <w:rFonts w:eastAsia="Arial"/>
      <w:sz w:val="18"/>
      <w:lang w:val="en-GB" w:eastAsia="ar-SA"/>
    </w:rPr>
  </w:style>
  <w:style w:type="paragraph" w:customStyle="1" w:styleId="Didascalia2">
    <w:name w:val="Didascalia2"/>
    <w:basedOn w:val="Normale"/>
    <w:next w:val="Maintextfirstline"/>
    <w:pPr>
      <w:spacing w:after="60"/>
    </w:pPr>
    <w:rPr>
      <w:sz w:val="16"/>
      <w:szCs w:val="24"/>
    </w:rPr>
  </w:style>
  <w:style w:type="paragraph" w:customStyle="1" w:styleId="Footnote">
    <w:name w:val="Footnote"/>
    <w:basedOn w:val="Testonotaapidipagina"/>
    <w:pPr>
      <w:spacing w:line="214" w:lineRule="exact"/>
    </w:pPr>
    <w:rPr>
      <w:rFonts w:ascii="Garamond" w:hAnsi="Garamond"/>
      <w:lang w:val="en-US"/>
    </w:rPr>
  </w:style>
  <w:style w:type="paragraph" w:customStyle="1" w:styleId="Equation">
    <w:name w:val="Equation"/>
    <w:basedOn w:val="Normale"/>
    <w:next w:val="Maintextfirstline"/>
    <w:pPr>
      <w:tabs>
        <w:tab w:val="center" w:pos="4253"/>
        <w:tab w:val="right" w:pos="8505"/>
      </w:tabs>
      <w:spacing w:before="240" w:after="240" w:line="254" w:lineRule="exact"/>
    </w:pPr>
    <w:rPr>
      <w:rFonts w:ascii="Garamond" w:hAnsi="Garamond"/>
      <w:sz w:val="23"/>
    </w:rPr>
  </w:style>
  <w:style w:type="paragraph" w:customStyle="1" w:styleId="Referenceslist">
    <w:name w:val="References list"/>
    <w:basedOn w:val="Maintextfirstline"/>
    <w:pPr>
      <w:numPr>
        <w:numId w:val="1"/>
      </w:numPr>
      <w:ind w:left="0" w:firstLine="0"/>
    </w:pPr>
    <w:rPr>
      <w:sz w:val="16"/>
      <w:lang w:val="en-US"/>
    </w:rPr>
  </w:style>
  <w:style w:type="paragraph" w:customStyle="1" w:styleId="Riassunto">
    <w:name w:val="Riassunto"/>
    <w:basedOn w:val="Maintext"/>
    <w:next w:val="Keywords"/>
    <w:pPr>
      <w:spacing w:before="480"/>
    </w:pPr>
    <w:rPr>
      <w:lang w:val="it-IT"/>
    </w:rPr>
  </w:style>
  <w:style w:type="paragraph" w:customStyle="1" w:styleId="ParagraphHeading">
    <w:name w:val="Paragraph Heading"/>
    <w:basedOn w:val="Maintext"/>
  </w:style>
  <w:style w:type="paragraph" w:customStyle="1" w:styleId="Subparagraphheading">
    <w:name w:val="Subparagraph heading"/>
    <w:basedOn w:val="Maintext"/>
    <w:rPr>
      <w:i/>
    </w:rPr>
  </w:style>
  <w:style w:type="paragraph" w:customStyle="1" w:styleId="Stile2">
    <w:name w:val="Stile2"/>
    <w:basedOn w:val="Maintextfirstline"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Formula">
    <w:name w:val="Formula"/>
    <w:basedOn w:val="Normale"/>
    <w:qFormat/>
    <w:rsid w:val="00350688"/>
    <w:pPr>
      <w:tabs>
        <w:tab w:val="center" w:pos="3402"/>
        <w:tab w:val="right" w:pos="6804"/>
      </w:tabs>
      <w:suppressAutoHyphens w:val="0"/>
      <w:spacing w:before="120" w:after="120"/>
      <w:contextualSpacing/>
      <w:jc w:val="both"/>
    </w:pPr>
    <w:rPr>
      <w:rFonts w:eastAsia="Calibri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C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C1E"/>
    <w:rPr>
      <w:rFonts w:ascii="Segoe UI" w:hAnsi="Segoe UI" w:cs="Segoe UI"/>
      <w:sz w:val="18"/>
      <w:szCs w:val="18"/>
      <w:lang w:val="en-GB" w:eastAsia="ar-SA"/>
    </w:rPr>
  </w:style>
  <w:style w:type="character" w:styleId="Testosegnaposto">
    <w:name w:val="Placeholder Text"/>
    <w:basedOn w:val="Carpredefinitoparagrafo"/>
    <w:uiPriority w:val="99"/>
    <w:semiHidden/>
    <w:rsid w:val="00F10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w-more-years-better-lives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9C22-0C28-4624-B862-9D9E142D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 2008 contributed paper format</vt:lpstr>
    </vt:vector>
  </TitlesOfParts>
  <Company>Hewlett-Packard</Company>
  <LinksUpToDate>false</LinksUpToDate>
  <CharactersWithSpaces>9812</CharactersWithSpaces>
  <SharedDoc>false</SharedDoc>
  <HLinks>
    <vt:vector size="6" baseType="variant">
      <vt:variant>
        <vt:i4>1966084</vt:i4>
      </vt:variant>
      <vt:variant>
        <vt:i4>9</vt:i4>
      </vt:variant>
      <vt:variant>
        <vt:i4>0</vt:i4>
      </vt:variant>
      <vt:variant>
        <vt:i4>5</vt:i4>
      </vt:variant>
      <vt:variant>
        <vt:lpwstr>https://crew-more-years-better-lives.org/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 2008 contributed paper format</dc:title>
  <dc:subject/>
  <dc:creator>Referee1</dc:creator>
  <cp:keywords/>
  <cp:lastModifiedBy>x</cp:lastModifiedBy>
  <cp:revision>9</cp:revision>
  <cp:lastPrinted>2008-02-01T15:00:00Z</cp:lastPrinted>
  <dcterms:created xsi:type="dcterms:W3CDTF">2018-04-16T08:03:00Z</dcterms:created>
  <dcterms:modified xsi:type="dcterms:W3CDTF">2018-04-22T22:24:00Z</dcterms:modified>
</cp:coreProperties>
</file>