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8F441" w14:textId="343F3529" w:rsidR="00EF1F23" w:rsidRDefault="000846CE" w:rsidP="00EF1F2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1F23">
        <w:rPr>
          <w:rFonts w:ascii="Times New Roman" w:hAnsi="Times New Roman" w:cs="Times New Roman"/>
          <w:b/>
          <w:bCs/>
          <w:sz w:val="32"/>
          <w:szCs w:val="32"/>
        </w:rPr>
        <w:t>A P</w:t>
      </w:r>
      <w:r w:rsidR="00A57933" w:rsidRPr="00EF1F23">
        <w:rPr>
          <w:rFonts w:ascii="Times New Roman" w:hAnsi="Times New Roman" w:cs="Times New Roman"/>
          <w:b/>
          <w:bCs/>
          <w:sz w:val="32"/>
          <w:szCs w:val="32"/>
        </w:rPr>
        <w:t xml:space="preserve">robabilistic Cohort-Component Model for Population Forecasting </w:t>
      </w:r>
      <w:r w:rsidR="00B84E0D" w:rsidRPr="00EF1F23">
        <w:rPr>
          <w:rFonts w:ascii="Times New Roman" w:hAnsi="Times New Roman" w:cs="Times New Roman"/>
          <w:b/>
          <w:bCs/>
          <w:sz w:val="32"/>
          <w:szCs w:val="32"/>
        </w:rPr>
        <w:t>– The Case of Germany</w:t>
      </w:r>
    </w:p>
    <w:p w14:paraId="77E72DAC" w14:textId="2CD1936C" w:rsidR="00EF1F23" w:rsidRDefault="00EF1F23" w:rsidP="00EF1F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Modello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Componenti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Coorte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per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Previsioni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della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Popolazione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Il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Caso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della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Germania</w:t>
      </w:r>
    </w:p>
    <w:p w14:paraId="7F116043" w14:textId="77777777" w:rsidR="00EF1F23" w:rsidRDefault="00EF1F23" w:rsidP="00EF1F2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8A6D5DC" w14:textId="6EF51BC5" w:rsidR="00EF1F23" w:rsidRPr="00EF1F23" w:rsidRDefault="00EF1F23" w:rsidP="00EF1F23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Patrizio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Vanella</w:t>
      </w:r>
      <w:proofErr w:type="spellEnd"/>
      <w:r>
        <w:rPr>
          <w:rStyle w:val="Funotenzeichen"/>
          <w:rFonts w:ascii="Times New Roman" w:hAnsi="Times New Roman" w:cs="Times New Roman"/>
          <w:bCs/>
          <w:sz w:val="20"/>
          <w:szCs w:val="20"/>
        </w:rPr>
        <w:footnoteReference w:id="2"/>
      </w:r>
      <w:r>
        <w:rPr>
          <w:rFonts w:ascii="Times New Roman" w:hAnsi="Times New Roman" w:cs="Times New Roman"/>
          <w:bCs/>
          <w:sz w:val="20"/>
          <w:szCs w:val="20"/>
        </w:rPr>
        <w:t xml:space="preserve"> and Philipp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Deschermeier</w:t>
      </w:r>
      <w:proofErr w:type="spellEnd"/>
      <w:r>
        <w:rPr>
          <w:rStyle w:val="Funotenzeichen"/>
          <w:rFonts w:ascii="Times New Roman" w:hAnsi="Times New Roman" w:cs="Times New Roman"/>
          <w:bCs/>
          <w:sz w:val="20"/>
          <w:szCs w:val="20"/>
        </w:rPr>
        <w:footnoteReference w:id="3"/>
      </w:r>
    </w:p>
    <w:p w14:paraId="27613026" w14:textId="77777777" w:rsidR="00EF1F23" w:rsidRPr="00072B06" w:rsidRDefault="00EF1F23" w:rsidP="00072B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C73C9B" w14:textId="77777777" w:rsidR="00072B06" w:rsidRPr="00072B06" w:rsidRDefault="00072B06" w:rsidP="00072B0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4CDB4D" w14:textId="43B887FB" w:rsidR="003F0E74" w:rsidRPr="00A95BED" w:rsidRDefault="001C76BE" w:rsidP="00A95BE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A95BED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A95BED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The future development of population </w:t>
      </w:r>
      <w:r w:rsidR="000922DF" w:rsidRPr="00072B06">
        <w:rPr>
          <w:rFonts w:ascii="Times New Roman" w:hAnsi="Times New Roman" w:cs="Times New Roman"/>
          <w:color w:val="auto"/>
          <w:sz w:val="20"/>
          <w:szCs w:val="20"/>
        </w:rPr>
        <w:t>size and structure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is of </w:t>
      </w:r>
      <w:r w:rsidR="000922DF" w:rsidRPr="00072B06">
        <w:rPr>
          <w:rFonts w:ascii="Times New Roman" w:hAnsi="Times New Roman" w:cs="Times New Roman"/>
          <w:color w:val="auto"/>
          <w:sz w:val="20"/>
          <w:szCs w:val="20"/>
        </w:rPr>
        <w:t>undeniable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importance since planning in many areas of politics and business is </w:t>
      </w:r>
      <w:r w:rsidR="00B652DC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conducted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>based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on expectations about the</w:t>
      </w:r>
      <w:r w:rsidR="000922DF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future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0922DF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makeup of the 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population.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ountries with </w:t>
      </w:r>
      <w:r w:rsidR="00B652DC" w:rsidRPr="00072B06">
        <w:rPr>
          <w:rFonts w:ascii="Times New Roman" w:hAnsi="Times New Roman" w:cs="Times New Roman"/>
          <w:color w:val="auto"/>
          <w:sz w:val="20"/>
          <w:szCs w:val="20"/>
        </w:rPr>
        <w:t>both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F4E90" w:rsidRPr="00072B06">
        <w:rPr>
          <w:rFonts w:ascii="Times New Roman" w:hAnsi="Times New Roman" w:cs="Times New Roman"/>
          <w:color w:val="auto"/>
          <w:sz w:val="20"/>
          <w:szCs w:val="20"/>
        </w:rPr>
        <w:t>decreasing mortality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and </w:t>
      </w:r>
      <w:r w:rsidR="00CF4E9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low </w:t>
      </w:r>
      <w:r w:rsidR="000922DF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fertility 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rates, as is the case for most countries in Europe, are in </w:t>
      </w:r>
      <w:r w:rsidR="00B652DC" w:rsidRPr="00072B06">
        <w:rPr>
          <w:rFonts w:ascii="Times New Roman" w:hAnsi="Times New Roman" w:cs="Times New Roman"/>
          <w:color w:val="auto"/>
          <w:sz w:val="20"/>
          <w:szCs w:val="20"/>
        </w:rPr>
        <w:t>urgent</w:t>
      </w:r>
      <w:r w:rsidR="00B652DC" w:rsidRPr="00072B06" w:rsidDel="00B652D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need of adequate population forecasts </w:t>
      </w:r>
      <w:r w:rsidR="00B652DC" w:rsidRPr="00072B06">
        <w:rPr>
          <w:rFonts w:ascii="Times New Roman" w:hAnsi="Times New Roman" w:cs="Times New Roman"/>
          <w:color w:val="auto"/>
          <w:sz w:val="20"/>
          <w:szCs w:val="20"/>
        </w:rPr>
        <w:t>to identify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future problems for social </w:t>
      </w:r>
      <w:r w:rsidR="000922DF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security 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systems </w:t>
      </w:r>
      <w:r w:rsidR="00B652DC" w:rsidRPr="00072B06">
        <w:rPr>
          <w:rFonts w:ascii="Times New Roman" w:hAnsi="Times New Roman" w:cs="Times New Roman"/>
          <w:color w:val="auto"/>
          <w:sz w:val="20"/>
          <w:szCs w:val="20"/>
        </w:rPr>
        <w:t>and overall</w:t>
      </w:r>
      <w:r w:rsidR="00E1317B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macroeconomic development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>T</w:t>
      </w:r>
      <w:r w:rsidR="00E1317B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he labor market will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especially </w:t>
      </w:r>
      <w:r w:rsidR="00E1317B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be affected by the retirement of the </w:t>
      </w:r>
      <w:r w:rsidR="00E1317B" w:rsidRPr="00072B06">
        <w:rPr>
          <w:rFonts w:ascii="Times New Roman" w:hAnsi="Times New Roman" w:cs="Times New Roman"/>
          <w:i/>
          <w:color w:val="auto"/>
          <w:sz w:val="20"/>
          <w:szCs w:val="20"/>
        </w:rPr>
        <w:t>baby boomer generation</w:t>
      </w:r>
      <w:r w:rsidR="00E1317B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and the resulting</w:t>
      </w:r>
      <w:r w:rsidR="00977B7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shortage of young skilled workers.</w:t>
      </w:r>
      <w:r w:rsidR="00A95BE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This contribution proposes a stochastic cohort-component model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>that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uses simulation techniques based on stochastic models for fertility, migration and mortality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>to forecast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the population by age and </w:t>
      </w:r>
      <w:r w:rsidR="00977B70" w:rsidRPr="00072B06">
        <w:rPr>
          <w:rFonts w:ascii="Times New Roman" w:hAnsi="Times New Roman" w:cs="Times New Roman"/>
          <w:color w:val="auto"/>
          <w:sz w:val="20"/>
          <w:szCs w:val="20"/>
        </w:rPr>
        <w:t>sex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9A3E7A" w:rsidRPr="00072B06">
        <w:rPr>
          <w:rFonts w:ascii="Times New Roman" w:hAnsi="Times New Roman" w:cs="Times New Roman"/>
          <w:color w:val="auto"/>
          <w:sz w:val="20"/>
          <w:szCs w:val="20"/>
        </w:rPr>
        <w:t>The results provide</w:t>
      </w:r>
      <w:r w:rsidR="000A376C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detailed insight into the future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population </w:t>
      </w:r>
      <w:r w:rsidR="000A376C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structure, disaggregated into both sexes and 116 age groups. Moreover, the uncertainty 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in </w:t>
      </w:r>
      <w:r w:rsidR="000A376C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the forecast is quantified </w:t>
      </w:r>
      <w:r w:rsidR="00B652DC" w:rsidRPr="00072B06">
        <w:rPr>
          <w:rFonts w:ascii="Times New Roman" w:hAnsi="Times New Roman" w:cs="Times New Roman"/>
          <w:color w:val="auto"/>
          <w:sz w:val="20"/>
          <w:szCs w:val="20"/>
        </w:rPr>
        <w:t>as</w:t>
      </w:r>
      <w:r w:rsidR="00B07425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prediction intervals </w:t>
      </w:r>
      <w:r w:rsidR="000A376C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for each subgroup. 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>The underlying models for forecasting the demographic components have been developed in earlier studies and rely on principal co</w:t>
      </w:r>
      <w:r w:rsidR="000922DF" w:rsidRPr="00072B06">
        <w:rPr>
          <w:rFonts w:ascii="Times New Roman" w:hAnsi="Times New Roman" w:cs="Times New Roman"/>
          <w:color w:val="auto"/>
          <w:sz w:val="20"/>
          <w:szCs w:val="20"/>
        </w:rPr>
        <w:t>mponent</w:t>
      </w:r>
      <w:r w:rsidR="009E576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time series models.</w:t>
      </w:r>
      <w:r w:rsidR="00977B70" w:rsidRPr="00072B0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E861986" w14:textId="77777777" w:rsidR="005470C0" w:rsidRDefault="005470C0" w:rsidP="00072B06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1A7DCFF" w14:textId="090C7C5C" w:rsidR="00D207A3" w:rsidRPr="00A95BED" w:rsidRDefault="005470C0" w:rsidP="00A95BED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</w:pPr>
      <w:r w:rsidRPr="00A95BED">
        <w:rPr>
          <w:rFonts w:ascii="Times New Roman" w:hAnsi="Times New Roman" w:cs="Times New Roman"/>
          <w:b/>
          <w:bCs/>
          <w:sz w:val="20"/>
          <w:szCs w:val="20"/>
          <w:lang w:val="it-IT"/>
        </w:rPr>
        <w:t>Abstract</w:t>
      </w:r>
      <w:r w:rsidR="00A95BED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D207A3" w:rsidRPr="00A95BED">
        <w:rPr>
          <w:rFonts w:ascii="Times New Roman" w:hAnsi="Times New Roman" w:cs="Times New Roman"/>
          <w:i/>
          <w:color w:val="auto"/>
          <w:sz w:val="20"/>
          <w:szCs w:val="24"/>
          <w:lang w:val="it-IT"/>
        </w:rPr>
        <w:t>Il futuro sviluppo della grandezza e della struttura della popolazione è di importanza innegabile, poiché la pianificazione in molte aree di politica ed economia è condotta sulla base di aspettative sulla composizione futura della popolazione. Paesi con tassi di mortalità e fertilità in calo, fenomeno comune nella maggioranza dei paesi d’Europa, hanno un urgente bisogno di previsioni adeguate della popolazione per identificare i problemi futuri per il sistema d’assicurazione sociale e per lo sviluppo macroeconomico generale. Il mercato del lavoro sarà influenzato in particolare dai pensionamenti della generazione baby boom e dalla risultante scarsità di lavoratori giovani e qualificati.</w:t>
      </w:r>
      <w:r w:rsidR="00A95BED" w:rsidRPr="00A95BED">
        <w:rPr>
          <w:rFonts w:ascii="Times New Roman" w:hAnsi="Times New Roman" w:cs="Times New Roman"/>
          <w:i/>
          <w:color w:val="auto"/>
          <w:sz w:val="20"/>
          <w:szCs w:val="24"/>
          <w:lang w:val="it-IT"/>
        </w:rPr>
        <w:t xml:space="preserve"> </w:t>
      </w:r>
      <w:r w:rsidR="00D207A3" w:rsidRPr="00A95BED">
        <w:rPr>
          <w:rFonts w:ascii="Times New Roman" w:hAnsi="Times New Roman" w:cs="Times New Roman"/>
          <w:i/>
          <w:color w:val="auto"/>
          <w:sz w:val="20"/>
          <w:szCs w:val="24"/>
          <w:lang w:val="it-IT"/>
        </w:rPr>
        <w:t xml:space="preserve">Questo studio propone un modello a componenti di coorte che usa tecniche di simulazione a base di modelli stocastici per fertilità, migrazione e mortalità, per predire la popolazione per età e sesso. I risultati offrono informazioni dettagliate sulla struttura della popolazione nel futuro, disaggregate per sesso e 116 gruppi d’età. Inoltre, l’incertezza della previsione è quantificata attraverso intervalli di previsione per ogni sottogruppo. I sottostanti modelli per predire le componenti demografiche sono stati sviluppati in precedenti studi e usano modelli di serie storiche (time </w:t>
      </w:r>
      <w:proofErr w:type="spellStart"/>
      <w:r w:rsidR="00D207A3" w:rsidRPr="00A95BED">
        <w:rPr>
          <w:rFonts w:ascii="Times New Roman" w:hAnsi="Times New Roman" w:cs="Times New Roman"/>
          <w:i/>
          <w:color w:val="auto"/>
          <w:sz w:val="20"/>
          <w:szCs w:val="24"/>
          <w:lang w:val="it-IT"/>
        </w:rPr>
        <w:t>series</w:t>
      </w:r>
      <w:proofErr w:type="spellEnd"/>
      <w:r w:rsidR="00D207A3" w:rsidRPr="00A95BED">
        <w:rPr>
          <w:rFonts w:ascii="Times New Roman" w:hAnsi="Times New Roman" w:cs="Times New Roman"/>
          <w:i/>
          <w:color w:val="auto"/>
          <w:sz w:val="20"/>
          <w:szCs w:val="24"/>
          <w:lang w:val="it-IT"/>
        </w:rPr>
        <w:t xml:space="preserve">) con componenti principali. </w:t>
      </w:r>
    </w:p>
    <w:p w14:paraId="2D2BCF5E" w14:textId="58FECF1B" w:rsidR="00A95BED" w:rsidRDefault="005D43CE" w:rsidP="00A95BED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4"/>
          <w:lang w:val="it-IT"/>
        </w:rPr>
      </w:pPr>
      <w:proofErr w:type="spellStart"/>
      <w:r w:rsidRPr="005D43CE">
        <w:rPr>
          <w:rFonts w:ascii="Times New Roman" w:hAnsi="Times New Roman" w:cs="Times New Roman"/>
          <w:b/>
          <w:color w:val="auto"/>
          <w:sz w:val="20"/>
          <w:szCs w:val="24"/>
          <w:lang w:val="it-IT"/>
        </w:rPr>
        <w:t>Key</w:t>
      </w:r>
      <w:proofErr w:type="spellEnd"/>
      <w:r w:rsidRPr="005D43CE">
        <w:rPr>
          <w:rFonts w:ascii="Times New Roman" w:hAnsi="Times New Roman" w:cs="Times New Roman"/>
          <w:b/>
          <w:color w:val="auto"/>
          <w:sz w:val="20"/>
          <w:szCs w:val="24"/>
          <w:lang w:val="it-IT"/>
        </w:rPr>
        <w:t xml:space="preserve"> </w:t>
      </w:r>
      <w:proofErr w:type="spellStart"/>
      <w:r w:rsidRPr="005D43CE">
        <w:rPr>
          <w:rFonts w:ascii="Times New Roman" w:hAnsi="Times New Roman" w:cs="Times New Roman"/>
          <w:b/>
          <w:color w:val="auto"/>
          <w:sz w:val="20"/>
          <w:szCs w:val="24"/>
          <w:lang w:val="it-IT"/>
        </w:rPr>
        <w:t>words</w:t>
      </w:r>
      <w:proofErr w:type="spellEnd"/>
      <w:r w:rsidRPr="005D43CE">
        <w:rPr>
          <w:rFonts w:ascii="Times New Roman" w:hAnsi="Times New Roman" w:cs="Times New Roman"/>
          <w:b/>
          <w:color w:val="auto"/>
          <w:sz w:val="20"/>
          <w:szCs w:val="24"/>
          <w:lang w:val="it-IT"/>
        </w:rPr>
        <w:t>:</w:t>
      </w:r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>Population</w:t>
      </w:r>
      <w:proofErr w:type="spellEnd"/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>Forecasting</w:t>
      </w:r>
      <w:proofErr w:type="spellEnd"/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>Stochastic</w:t>
      </w:r>
      <w:proofErr w:type="spellEnd"/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4"/>
          <w:lang w:val="it-IT"/>
        </w:rPr>
        <w:t>Simulation</w:t>
      </w:r>
      <w:proofErr w:type="spellEnd"/>
    </w:p>
    <w:p w14:paraId="12E355E8" w14:textId="77777777" w:rsidR="005D43CE" w:rsidRPr="00D207A3" w:rsidRDefault="005D43CE" w:rsidP="00A95BED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4"/>
          <w:lang w:val="it-IT"/>
        </w:rPr>
      </w:pPr>
    </w:p>
    <w:p w14:paraId="4CCB33E8" w14:textId="101FBFA1" w:rsidR="005F4A68" w:rsidRPr="00072B06" w:rsidRDefault="00072B06" w:rsidP="00072B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72B06">
        <w:rPr>
          <w:rFonts w:ascii="Times New Roman" w:hAnsi="Times New Roman" w:cs="Times New Roman"/>
          <w:b/>
          <w:bCs/>
          <w:sz w:val="24"/>
          <w:szCs w:val="20"/>
        </w:rPr>
        <w:t>1</w:t>
      </w:r>
      <w:r w:rsidR="001C76BE" w:rsidRPr="00072B06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74746A" w:rsidRPr="00072B06">
        <w:rPr>
          <w:rFonts w:ascii="Times New Roman" w:hAnsi="Times New Roman" w:cs="Times New Roman"/>
          <w:b/>
          <w:bCs/>
          <w:sz w:val="24"/>
          <w:szCs w:val="20"/>
        </w:rPr>
        <w:t xml:space="preserve">Future </w:t>
      </w:r>
      <w:r w:rsidR="00A57933" w:rsidRPr="00072B06">
        <w:rPr>
          <w:rFonts w:ascii="Times New Roman" w:hAnsi="Times New Roman" w:cs="Times New Roman"/>
          <w:b/>
          <w:bCs/>
          <w:sz w:val="24"/>
          <w:szCs w:val="20"/>
        </w:rPr>
        <w:t xml:space="preserve">Development of </w:t>
      </w:r>
      <w:r w:rsidR="0074746A" w:rsidRPr="00072B06">
        <w:rPr>
          <w:rFonts w:ascii="Times New Roman" w:hAnsi="Times New Roman" w:cs="Times New Roman"/>
          <w:b/>
          <w:bCs/>
          <w:sz w:val="24"/>
          <w:szCs w:val="20"/>
        </w:rPr>
        <w:t xml:space="preserve">the </w:t>
      </w:r>
      <w:r w:rsidR="00A57933" w:rsidRPr="00072B06">
        <w:rPr>
          <w:rFonts w:ascii="Times New Roman" w:hAnsi="Times New Roman" w:cs="Times New Roman"/>
          <w:b/>
          <w:bCs/>
          <w:sz w:val="24"/>
          <w:szCs w:val="20"/>
        </w:rPr>
        <w:t>Demographic Components</w:t>
      </w:r>
    </w:p>
    <w:p w14:paraId="7A54824C" w14:textId="48C87E8B" w:rsidR="00436CBF" w:rsidRPr="00072B06" w:rsidRDefault="0026593A" w:rsidP="00072B06">
      <w:pPr>
        <w:spacing w:line="24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We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 propose a population forecast based on a probabilistic cohort-component model </w:t>
      </w:r>
      <w:r w:rsidR="00F2780A" w:rsidRPr="00072B06">
        <w:rPr>
          <w:rFonts w:ascii="Times New Roman" w:hAnsi="Times New Roman" w:cs="Times New Roman"/>
          <w:bCs/>
          <w:sz w:val="20"/>
          <w:szCs w:val="20"/>
        </w:rPr>
        <w:t>developed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 through the combination of </w:t>
      </w:r>
      <w:proofErr w:type="spellStart"/>
      <w:r w:rsidR="00C85190" w:rsidRPr="00072B06">
        <w:rPr>
          <w:rFonts w:ascii="Times New Roman" w:hAnsi="Times New Roman" w:cs="Times New Roman"/>
          <w:bCs/>
          <w:sz w:val="20"/>
          <w:szCs w:val="20"/>
        </w:rPr>
        <w:t>Vanella’s</w:t>
      </w:r>
      <w:proofErr w:type="spellEnd"/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0B13" w:rsidRPr="00072B06">
        <w:rPr>
          <w:rFonts w:ascii="Times New Roman" w:hAnsi="Times New Roman" w:cs="Times New Roman"/>
          <w:bCs/>
          <w:sz w:val="20"/>
          <w:szCs w:val="20"/>
        </w:rPr>
        <w:t>(2017</w:t>
      </w:r>
      <w:r w:rsidR="009F11C5" w:rsidRPr="00072B06">
        <w:rPr>
          <w:rFonts w:ascii="Times New Roman" w:hAnsi="Times New Roman" w:cs="Times New Roman"/>
          <w:bCs/>
          <w:sz w:val="20"/>
          <w:szCs w:val="20"/>
        </w:rPr>
        <w:t>a</w:t>
      </w:r>
      <w:r w:rsidR="008A45D4" w:rsidRPr="00072B06">
        <w:rPr>
          <w:rFonts w:ascii="Times New Roman" w:hAnsi="Times New Roman" w:cs="Times New Roman"/>
          <w:bCs/>
          <w:sz w:val="20"/>
          <w:szCs w:val="20"/>
        </w:rPr>
        <w:t>: 5</w:t>
      </w:r>
      <w:r w:rsidR="001E418B" w:rsidRPr="00072B06">
        <w:rPr>
          <w:rFonts w:ascii="Times New Roman" w:hAnsi="Times New Roman" w:cs="Times New Roman"/>
          <w:bCs/>
          <w:sz w:val="20"/>
          <w:szCs w:val="20"/>
        </w:rPr>
        <w:t>43-549</w:t>
      </w:r>
      <w:r w:rsidR="00ED0B13" w:rsidRPr="00072B06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model for forecasting age- and sex-specific </w:t>
      </w:r>
      <w:r w:rsidR="005C05B1" w:rsidRPr="00072B06">
        <w:rPr>
          <w:rFonts w:ascii="Times New Roman" w:hAnsi="Times New Roman" w:cs="Times New Roman"/>
          <w:bCs/>
          <w:sz w:val="20"/>
          <w:szCs w:val="20"/>
        </w:rPr>
        <w:t>survival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 rates</w:t>
      </w:r>
      <w:r w:rsidR="005C05B1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C05B1" w:rsidRPr="00072B06">
        <w:rPr>
          <w:rFonts w:ascii="Times New Roman" w:hAnsi="Times New Roman" w:cs="Times New Roman"/>
          <w:bCs/>
          <w:i/>
          <w:sz w:val="20"/>
          <w:szCs w:val="20"/>
        </w:rPr>
        <w:t>(ASSSRs)</w:t>
      </w:r>
      <w:r w:rsidR="00ED0B13" w:rsidRPr="00072B06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the forecast model for age-, sex- and nationality-specific net migration </w:t>
      </w:r>
      <w:r w:rsidR="00BB44E0" w:rsidRPr="00072B06">
        <w:rPr>
          <w:rFonts w:ascii="Times New Roman" w:hAnsi="Times New Roman" w:cs="Times New Roman"/>
          <w:bCs/>
          <w:i/>
          <w:sz w:val="20"/>
          <w:szCs w:val="20"/>
        </w:rPr>
        <w:t>(ASNSNM)</w:t>
      </w:r>
      <w:r w:rsidR="00BB44E0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>by Vanella and Deschermeier (2017</w:t>
      </w:r>
      <w:r w:rsidR="008417B1" w:rsidRPr="00072B06">
        <w:rPr>
          <w:rFonts w:ascii="Times New Roman" w:hAnsi="Times New Roman" w:cs="Times New Roman"/>
          <w:bCs/>
          <w:sz w:val="20"/>
          <w:szCs w:val="20"/>
        </w:rPr>
        <w:t>: 6-23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="006F2812" w:rsidRPr="00072B06">
        <w:rPr>
          <w:rFonts w:ascii="Times New Roman" w:hAnsi="Times New Roman" w:cs="Times New Roman"/>
          <w:bCs/>
          <w:sz w:val="20"/>
          <w:szCs w:val="20"/>
        </w:rPr>
        <w:t>and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C85190" w:rsidRPr="00072B06">
        <w:rPr>
          <w:rFonts w:ascii="Times New Roman" w:hAnsi="Times New Roman" w:cs="Times New Roman"/>
          <w:bCs/>
          <w:sz w:val="20"/>
          <w:szCs w:val="20"/>
        </w:rPr>
        <w:t>Vanella’s</w:t>
      </w:r>
      <w:proofErr w:type="spellEnd"/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 (2017</w:t>
      </w:r>
      <w:r w:rsidR="009F11C5" w:rsidRPr="00072B06">
        <w:rPr>
          <w:rFonts w:ascii="Times New Roman" w:hAnsi="Times New Roman" w:cs="Times New Roman"/>
          <w:bCs/>
          <w:sz w:val="20"/>
          <w:szCs w:val="20"/>
        </w:rPr>
        <w:t>b</w:t>
      </w:r>
      <w:r w:rsidR="002B5865" w:rsidRPr="00072B06">
        <w:rPr>
          <w:rFonts w:ascii="Times New Roman" w:hAnsi="Times New Roman" w:cs="Times New Roman"/>
          <w:bCs/>
          <w:sz w:val="20"/>
          <w:szCs w:val="20"/>
        </w:rPr>
        <w:t>: 11-24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>) model for forecasting age-specific fertility rates</w:t>
      </w:r>
      <w:r w:rsidR="00B95D98" w:rsidRPr="00072B06">
        <w:rPr>
          <w:rFonts w:ascii="Times New Roman" w:hAnsi="Times New Roman" w:cs="Times New Roman"/>
          <w:bCs/>
          <w:sz w:val="20"/>
          <w:szCs w:val="20"/>
        </w:rPr>
        <w:t xml:space="preserve"> by sex of newborn</w:t>
      </w:r>
      <w:r w:rsidR="006F2812" w:rsidRPr="00072B06">
        <w:rPr>
          <w:rFonts w:ascii="Times New Roman" w:hAnsi="Times New Roman" w:cs="Times New Roman"/>
          <w:bCs/>
          <w:sz w:val="20"/>
          <w:szCs w:val="20"/>
        </w:rPr>
        <w:t>s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4B9E" w:rsidRPr="00072B06">
        <w:rPr>
          <w:rFonts w:ascii="Times New Roman" w:hAnsi="Times New Roman" w:cs="Times New Roman"/>
          <w:bCs/>
          <w:i/>
          <w:sz w:val="20"/>
          <w:szCs w:val="20"/>
        </w:rPr>
        <w:t>(ASSFR)</w:t>
      </w:r>
      <w:r w:rsidR="00C85190" w:rsidRPr="00072B0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3F4501" w:rsidRPr="00072B06">
        <w:rPr>
          <w:rFonts w:ascii="Times New Roman" w:hAnsi="Times New Roman" w:cs="Times New Roman"/>
          <w:bCs/>
          <w:sz w:val="20"/>
          <w:szCs w:val="20"/>
        </w:rPr>
        <w:t xml:space="preserve">Each partial model generates 10,000 scenarios stochastically by </w:t>
      </w:r>
      <w:r w:rsidR="00F7703E" w:rsidRPr="00072B06">
        <w:rPr>
          <w:rFonts w:ascii="Times New Roman" w:hAnsi="Times New Roman" w:cs="Times New Roman"/>
          <w:bCs/>
          <w:sz w:val="20"/>
          <w:szCs w:val="20"/>
        </w:rPr>
        <w:t>simulation of Wiener proc</w:t>
      </w:r>
      <w:r w:rsidR="009D5598" w:rsidRPr="00072B06">
        <w:rPr>
          <w:rFonts w:ascii="Times New Roman" w:hAnsi="Times New Roman" w:cs="Times New Roman"/>
          <w:bCs/>
          <w:sz w:val="20"/>
          <w:szCs w:val="20"/>
        </w:rPr>
        <w:t>esses</w:t>
      </w:r>
      <w:r w:rsidR="005D5A63" w:rsidRPr="00072B06">
        <w:rPr>
          <w:rStyle w:val="Funotenzeichen"/>
          <w:rFonts w:ascii="Times New Roman" w:hAnsi="Times New Roman" w:cs="Times New Roman"/>
          <w:bCs/>
          <w:sz w:val="20"/>
          <w:szCs w:val="20"/>
        </w:rPr>
        <w:footnoteReference w:id="4"/>
      </w:r>
      <w:r w:rsidR="009D5598" w:rsidRPr="00072B06">
        <w:rPr>
          <w:rFonts w:ascii="Times New Roman" w:hAnsi="Times New Roman" w:cs="Times New Roman"/>
          <w:bCs/>
          <w:sz w:val="20"/>
          <w:szCs w:val="20"/>
        </w:rPr>
        <w:t xml:space="preserve">, which </w:t>
      </w:r>
      <w:r w:rsidR="006F2812" w:rsidRPr="00072B06">
        <w:rPr>
          <w:rFonts w:ascii="Times New Roman" w:hAnsi="Times New Roman" w:cs="Times New Roman"/>
          <w:bCs/>
          <w:sz w:val="20"/>
          <w:szCs w:val="20"/>
        </w:rPr>
        <w:t>represent</w:t>
      </w:r>
      <w:r w:rsidR="00F7703E" w:rsidRPr="00072B06">
        <w:rPr>
          <w:rFonts w:ascii="Times New Roman" w:hAnsi="Times New Roman" w:cs="Times New Roman"/>
          <w:bCs/>
          <w:sz w:val="20"/>
          <w:szCs w:val="20"/>
        </w:rPr>
        <w:t xml:space="preserve"> 10,000 scenarios for the future development of the population in Germany by age (</w:t>
      </w:r>
      <w:r w:rsidR="00F7703E" w:rsidRPr="00072B06">
        <w:rPr>
          <w:rFonts w:ascii="Times New Roman" w:hAnsi="Times New Roman" w:cs="Times New Roman"/>
          <w:bCs/>
          <w:i/>
          <w:sz w:val="20"/>
          <w:szCs w:val="20"/>
        </w:rPr>
        <w:t>0-115</w:t>
      </w:r>
      <w:r w:rsidR="00F7703E" w:rsidRPr="00072B06">
        <w:rPr>
          <w:rFonts w:ascii="Times New Roman" w:hAnsi="Times New Roman" w:cs="Times New Roman"/>
          <w:bCs/>
          <w:sz w:val="20"/>
          <w:szCs w:val="20"/>
        </w:rPr>
        <w:t>) and sex (</w:t>
      </w:r>
      <w:r w:rsidR="00F7703E" w:rsidRPr="00072B06">
        <w:rPr>
          <w:rFonts w:ascii="Times New Roman" w:hAnsi="Times New Roman" w:cs="Times New Roman"/>
          <w:bCs/>
          <w:i/>
          <w:color w:val="auto"/>
          <w:sz w:val="20"/>
          <w:szCs w:val="20"/>
        </w:rPr>
        <w:t>binary</w:t>
      </w:r>
      <w:r w:rsidR="00F7703E" w:rsidRPr="00072B06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357A4B" w:rsidRPr="00072B0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  <w:r w:rsidR="003F450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14:paraId="42FF9CC7" w14:textId="7AA5B606" w:rsidR="00300317" w:rsidRPr="00072B06" w:rsidRDefault="009F11C5" w:rsidP="00072B06">
      <w:pPr>
        <w:spacing w:line="240" w:lineRule="auto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Vanella (2017b</w:t>
      </w:r>
      <w:r w:rsidR="001278E5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 21-22</w:t>
      </w:r>
      <w:r w:rsidR="00436CBF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 incorporate</w:t>
      </w:r>
      <w:r w:rsidR="00636FF5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</w:t>
      </w:r>
      <w:r w:rsidR="00436CBF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the effect of international migration </w:t>
      </w:r>
      <w:r w:rsidR="00706DEE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on fertility in his fertility forecast model</w:t>
      </w:r>
      <w:r w:rsidR="006C2731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1A748F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C273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The </w:t>
      </w:r>
      <w:r w:rsidR="0037304B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inclusion </w:t>
      </w:r>
      <w:r w:rsidR="006C273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of this fertility model into the population forecast model proposed here </w:t>
      </w:r>
      <w:r w:rsidR="002B1F4C" w:rsidRPr="00072B06">
        <w:rPr>
          <w:rFonts w:ascii="Times New Roman" w:hAnsi="Times New Roman" w:cs="Times New Roman"/>
          <w:bCs/>
          <w:color w:val="auto"/>
          <w:sz w:val="20"/>
          <w:szCs w:val="20"/>
        </w:rPr>
        <w:t>provides an</w:t>
      </w:r>
      <w:r w:rsidR="006C273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opportunity to quantify the effects of international migration on the development of the population not only directly through the migration process itself but also indirectly </w:t>
      </w:r>
      <w:r w:rsidR="002B1F4C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by </w:t>
      </w:r>
      <w:r w:rsidR="006C273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altering the number of births </w:t>
      </w:r>
      <w:r w:rsidR="002B1F4C" w:rsidRPr="00072B06">
        <w:rPr>
          <w:rFonts w:ascii="Times New Roman" w:hAnsi="Times New Roman" w:cs="Times New Roman"/>
          <w:bCs/>
          <w:color w:val="auto"/>
          <w:sz w:val="20"/>
          <w:szCs w:val="20"/>
        </w:rPr>
        <w:t>due to the</w:t>
      </w:r>
      <w:r w:rsidR="006C273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different reproductive behavior of migrants relative to</w:t>
      </w:r>
      <w:r w:rsidR="002B1F4C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that of</w:t>
      </w:r>
      <w:r w:rsidR="006C273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5D5A63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the </w:t>
      </w:r>
      <w:r w:rsidR="006C2731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native population. </w:t>
      </w:r>
    </w:p>
    <w:p w14:paraId="7CC14EE5" w14:textId="560641F1" w:rsidR="00EE7764" w:rsidRPr="00072B06" w:rsidRDefault="002B1F4C" w:rsidP="00072B06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We now describe</w:t>
      </w:r>
      <w:r w:rsidR="001A748F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the procedure for </w:t>
      </w:r>
      <w:r w:rsidR="0037304B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population </w:t>
      </w:r>
      <w:r w:rsidR="001A748F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forecasting </w:t>
      </w: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with </w:t>
      </w:r>
      <w:r w:rsidR="0037304B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our model</w:t>
      </w:r>
      <w:r w:rsidR="001A748F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="001309D5" w:rsidRPr="00072B06">
        <w:rPr>
          <w:rFonts w:ascii="Times New Roman" w:hAnsi="Times New Roman" w:cs="Times New Roman"/>
          <w:bCs/>
          <w:sz w:val="20"/>
          <w:szCs w:val="20"/>
        </w:rPr>
        <w:t xml:space="preserve">Let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x,y,g,t</m:t>
            </m:r>
          </m:sub>
        </m:sSub>
      </m:oMath>
      <w:r w:rsidR="00D5563D" w:rsidRPr="00072B06">
        <w:rPr>
          <w:rFonts w:ascii="Times New Roman" w:hAnsi="Times New Roman" w:cs="Times New Roman"/>
          <w:bCs/>
          <w:sz w:val="20"/>
          <w:szCs w:val="20"/>
        </w:rPr>
        <w:t xml:space="preserve"> denote the </w:t>
      </w:r>
      <w:r w:rsidR="001309D5" w:rsidRPr="00072B06">
        <w:rPr>
          <w:rFonts w:ascii="Times New Roman" w:hAnsi="Times New Roman" w:cs="Times New Roman"/>
          <w:bCs/>
          <w:sz w:val="20"/>
          <w:szCs w:val="20"/>
        </w:rPr>
        <w:t xml:space="preserve">population aged </w:t>
      </w:r>
      <w:r w:rsidR="001309D5" w:rsidRPr="00072B06">
        <w:rPr>
          <w:rFonts w:ascii="Times New Roman" w:hAnsi="Times New Roman" w:cs="Times New Roman"/>
          <w:bCs/>
          <w:i/>
          <w:sz w:val="20"/>
          <w:szCs w:val="20"/>
        </w:rPr>
        <w:t>x</w:t>
      </w:r>
      <w:r w:rsidR="001309D5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years </w:t>
      </w:r>
      <w:r w:rsidR="001309D5" w:rsidRPr="00072B06">
        <w:rPr>
          <w:rFonts w:ascii="Times New Roman" w:hAnsi="Times New Roman" w:cs="Times New Roman"/>
          <w:bCs/>
          <w:sz w:val="20"/>
          <w:szCs w:val="20"/>
        </w:rPr>
        <w:t xml:space="preserve">at the end of year </w:t>
      </w:r>
      <w:r w:rsidR="002233B2" w:rsidRPr="00072B06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2233B2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563D" w:rsidRPr="00072B06">
        <w:rPr>
          <w:rFonts w:ascii="Times New Roman" w:hAnsi="Times New Roman" w:cs="Times New Roman"/>
          <w:bCs/>
          <w:sz w:val="20"/>
          <w:szCs w:val="20"/>
        </w:rPr>
        <w:t xml:space="preserve">for </w:t>
      </w:r>
      <w:r w:rsidR="005D5A63" w:rsidRPr="00072B06">
        <w:rPr>
          <w:rFonts w:ascii="Times New Roman" w:hAnsi="Times New Roman" w:cs="Times New Roman"/>
          <w:bCs/>
          <w:sz w:val="20"/>
          <w:szCs w:val="20"/>
        </w:rPr>
        <w:t>sex</w:t>
      </w:r>
      <w:r w:rsidR="00D5563D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563D" w:rsidRPr="00072B06">
        <w:rPr>
          <w:rFonts w:ascii="Times New Roman" w:hAnsi="Times New Roman" w:cs="Times New Roman"/>
          <w:bCs/>
          <w:i/>
          <w:sz w:val="20"/>
          <w:szCs w:val="20"/>
        </w:rPr>
        <w:t>g</w:t>
      </w:r>
      <w:r w:rsidR="00D5563D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233B2" w:rsidRPr="00072B06">
        <w:rPr>
          <w:rFonts w:ascii="Times New Roman" w:hAnsi="Times New Roman" w:cs="Times New Roman"/>
          <w:bCs/>
          <w:sz w:val="20"/>
          <w:szCs w:val="20"/>
        </w:rPr>
        <w:t xml:space="preserve">in trajectory </w:t>
      </w:r>
      <w:r w:rsidR="002233B2" w:rsidRPr="00072B0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BB7D2E" w:rsidRPr="00072B06">
        <w:rPr>
          <w:rFonts w:ascii="Times New Roman" w:hAnsi="Times New Roman" w:cs="Times New Roman"/>
          <w:bCs/>
          <w:sz w:val="20"/>
          <w:szCs w:val="20"/>
        </w:rPr>
        <w:t>. The pop</w:t>
      </w:r>
      <w:r w:rsidR="009D5598" w:rsidRPr="00072B06">
        <w:rPr>
          <w:rFonts w:ascii="Times New Roman" w:hAnsi="Times New Roman" w:cs="Times New Roman"/>
          <w:bCs/>
          <w:sz w:val="20"/>
          <w:szCs w:val="20"/>
        </w:rPr>
        <w:t xml:space="preserve">ulation </w:t>
      </w:r>
      <w:r w:rsidRPr="00072B06">
        <w:rPr>
          <w:rFonts w:ascii="Times New Roman" w:hAnsi="Times New Roman" w:cs="Times New Roman"/>
          <w:bCs/>
          <w:sz w:val="20"/>
          <w:szCs w:val="20"/>
        </w:rPr>
        <w:t>update is performed</w:t>
      </w:r>
      <w:r w:rsidR="009D5598" w:rsidRPr="00072B06">
        <w:rPr>
          <w:rFonts w:ascii="Times New Roman" w:hAnsi="Times New Roman" w:cs="Times New Roman"/>
          <w:bCs/>
          <w:sz w:val="20"/>
          <w:szCs w:val="20"/>
        </w:rPr>
        <w:t xml:space="preserve"> through</w:t>
      </w:r>
      <w:r w:rsidR="00BB7D2E" w:rsidRPr="00072B06">
        <w:rPr>
          <w:rFonts w:ascii="Times New Roman" w:hAnsi="Times New Roman" w:cs="Times New Roman"/>
          <w:bCs/>
          <w:sz w:val="20"/>
          <w:szCs w:val="20"/>
        </w:rPr>
        <w:t xml:space="preserve"> the following step-wise process.</w:t>
      </w:r>
    </w:p>
    <w:p w14:paraId="6AF7BAC2" w14:textId="4A83AD5A" w:rsidR="00BB7D2E" w:rsidRPr="00072B06" w:rsidRDefault="00BB7D2E" w:rsidP="00072B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  <w:u w:val="single"/>
        </w:rPr>
        <w:t>Step I:</w:t>
      </w:r>
      <w:r w:rsidR="004D4684" w:rsidRPr="00072B0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389E2798" w14:textId="68AF0F69" w:rsidR="004D4684" w:rsidRPr="00072B06" w:rsidRDefault="000B4B79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The forecast begins with an adjustment of the base population with regards to international migration flows in the first forecast year </w:t>
      </w:r>
      <w:r w:rsidRPr="00072B06">
        <w:rPr>
          <w:rFonts w:ascii="Times New Roman" w:hAnsi="Times New Roman" w:cs="Times New Roman"/>
          <w:bCs/>
          <w:i/>
          <w:color w:val="auto"/>
          <w:sz w:val="20"/>
          <w:szCs w:val="20"/>
        </w:rPr>
        <w:t>y+1</w:t>
      </w:r>
      <w:r w:rsidRPr="00072B0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6764F9" w:rsidRPr="00072B06">
        <w:rPr>
          <w:rFonts w:ascii="Times New Roman" w:hAnsi="Times New Roman" w:cs="Times New Roman"/>
          <w:bCs/>
          <w:sz w:val="20"/>
          <w:szCs w:val="20"/>
        </w:rPr>
        <w:t xml:space="preserve">addition of 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international </w:t>
      </w:r>
      <w:r w:rsidR="00445819" w:rsidRPr="00072B06">
        <w:rPr>
          <w:rFonts w:ascii="Times New Roman" w:hAnsi="Times New Roman" w:cs="Times New Roman"/>
          <w:bCs/>
          <w:sz w:val="20"/>
          <w:szCs w:val="20"/>
        </w:rPr>
        <w:t xml:space="preserve">net </w:t>
      </w:r>
      <w:r w:rsidRPr="00072B06">
        <w:rPr>
          <w:rFonts w:ascii="Times New Roman" w:hAnsi="Times New Roman" w:cs="Times New Roman"/>
          <w:bCs/>
          <w:sz w:val="20"/>
          <w:szCs w:val="20"/>
        </w:rPr>
        <w:t>migration</w:t>
      </w:r>
      <w:r w:rsidR="002233B2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764F9" w:rsidRPr="00072B06">
        <w:rPr>
          <w:rFonts w:ascii="Times New Roman" w:hAnsi="Times New Roman" w:cs="Times New Roman"/>
          <w:bCs/>
          <w:sz w:val="20"/>
          <w:szCs w:val="20"/>
        </w:rPr>
        <w:t xml:space="preserve">aged </w:t>
      </w:r>
      <w:r w:rsidR="006764F9" w:rsidRPr="00072B06">
        <w:rPr>
          <w:rFonts w:ascii="Times New Roman" w:hAnsi="Times New Roman" w:cs="Times New Roman"/>
          <w:bCs/>
          <w:i/>
          <w:sz w:val="20"/>
          <w:szCs w:val="20"/>
        </w:rPr>
        <w:t>x+1</w:t>
      </w:r>
      <w:r w:rsidR="006764F9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years </w:t>
      </w:r>
      <w:r w:rsidR="006764F9" w:rsidRPr="00072B06">
        <w:rPr>
          <w:rFonts w:ascii="Times New Roman" w:hAnsi="Times New Roman" w:cs="Times New Roman"/>
          <w:bCs/>
          <w:sz w:val="20"/>
          <w:szCs w:val="20"/>
        </w:rPr>
        <w:t xml:space="preserve">of </w:t>
      </w:r>
      <w:r w:rsidR="00445819" w:rsidRPr="00072B06">
        <w:rPr>
          <w:rFonts w:ascii="Times New Roman" w:hAnsi="Times New Roman" w:cs="Times New Roman"/>
          <w:bCs/>
          <w:sz w:val="20"/>
          <w:szCs w:val="20"/>
        </w:rPr>
        <w:t xml:space="preserve">sex </w:t>
      </w:r>
      <w:r w:rsidR="006764F9" w:rsidRPr="00072B06">
        <w:rPr>
          <w:rFonts w:ascii="Times New Roman" w:hAnsi="Times New Roman" w:cs="Times New Roman"/>
          <w:bCs/>
          <w:i/>
          <w:sz w:val="20"/>
          <w:szCs w:val="20"/>
        </w:rPr>
        <w:t>g</w:t>
      </w:r>
      <w:r w:rsidR="006764F9" w:rsidRPr="00072B06">
        <w:rPr>
          <w:rFonts w:ascii="Times New Roman" w:hAnsi="Times New Roman" w:cs="Times New Roman"/>
          <w:bCs/>
          <w:sz w:val="20"/>
          <w:szCs w:val="20"/>
        </w:rPr>
        <w:t xml:space="preserve"> in year </w:t>
      </w:r>
      <w:r w:rsidR="006764F9" w:rsidRPr="00072B06">
        <w:rPr>
          <w:rFonts w:ascii="Times New Roman" w:hAnsi="Times New Roman" w:cs="Times New Roman"/>
          <w:bCs/>
          <w:i/>
          <w:color w:val="auto"/>
          <w:sz w:val="20"/>
          <w:szCs w:val="20"/>
        </w:rPr>
        <w:t>y+1</w:t>
      </w:r>
      <w:r w:rsidR="006764F9" w:rsidRPr="00072B06" w:rsidDel="006764F9"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</m:oMath>
      <w:r w:rsidR="006764F9" w:rsidRPr="00072B06">
        <w:rPr>
          <w:rFonts w:ascii="Times New Roman" w:hAnsi="Times New Roman" w:cs="Times New Roman"/>
          <w:bCs/>
          <w:sz w:val="20"/>
          <w:szCs w:val="20"/>
        </w:rPr>
        <w:t xml:space="preserve"> to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x,y,g,t</m:t>
            </m:r>
          </m:sub>
        </m:sSub>
      </m:oMath>
      <w:r w:rsidR="006764F9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4684" w:rsidRPr="00072B06">
        <w:rPr>
          <w:rFonts w:ascii="Times New Roman" w:hAnsi="Times New Roman" w:cs="Times New Roman"/>
          <w:bCs/>
          <w:sz w:val="20"/>
          <w:szCs w:val="20"/>
        </w:rPr>
        <w:t xml:space="preserve">leads to the hypothetical </w:t>
      </w:r>
      <w:r w:rsidR="00FB2D8B" w:rsidRPr="00072B06">
        <w:rPr>
          <w:rFonts w:ascii="Times New Roman" w:hAnsi="Times New Roman" w:cs="Times New Roman"/>
          <w:bCs/>
          <w:sz w:val="20"/>
          <w:szCs w:val="20"/>
        </w:rPr>
        <w:t>sub</w:t>
      </w:r>
      <w:r w:rsidR="004D4684" w:rsidRPr="00072B06">
        <w:rPr>
          <w:rFonts w:ascii="Times New Roman" w:hAnsi="Times New Roman" w:cs="Times New Roman"/>
          <w:bCs/>
          <w:sz w:val="20"/>
          <w:szCs w:val="20"/>
        </w:rPr>
        <w:t xml:space="preserve">population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4D4684" w:rsidRPr="00072B06">
        <w:rPr>
          <w:rFonts w:ascii="Times New Roman" w:hAnsi="Times New Roman" w:cs="Times New Roman"/>
          <w:bCs/>
          <w:sz w:val="20"/>
          <w:szCs w:val="20"/>
        </w:rPr>
        <w:t xml:space="preserve">at the end of year </w:t>
      </w:r>
      <w:r w:rsidR="004D4684" w:rsidRPr="00072B06">
        <w:rPr>
          <w:rFonts w:ascii="Times New Roman" w:hAnsi="Times New Roman" w:cs="Times New Roman"/>
          <w:i/>
          <w:sz w:val="20"/>
          <w:szCs w:val="20"/>
        </w:rPr>
        <w:t>t+1</w:t>
      </w:r>
      <w:r w:rsidR="004D4684" w:rsidRPr="00072B06">
        <w:rPr>
          <w:rFonts w:ascii="Times New Roman" w:hAnsi="Times New Roman" w:cs="Times New Roman"/>
          <w:bCs/>
          <w:sz w:val="20"/>
          <w:szCs w:val="20"/>
        </w:rPr>
        <w:t xml:space="preserve"> without any deaths:</w:t>
      </w:r>
    </w:p>
    <w:p w14:paraId="74B54C54" w14:textId="7FF19B56" w:rsidR="00F973E2" w:rsidRPr="00072B06" w:rsidRDefault="005D43CE" w:rsidP="00072B06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x,y,g,t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</m:oMath>
      <w:r w:rsidR="002B1F4C" w:rsidRPr="00072B06">
        <w:rPr>
          <w:rFonts w:ascii="Times New Roman" w:hAnsi="Times New Roman" w:cs="Times New Roman"/>
          <w:bCs/>
          <w:sz w:val="20"/>
          <w:szCs w:val="20"/>
        </w:rPr>
        <w:t>.</w:t>
      </w:r>
    </w:p>
    <w:p w14:paraId="2279387A" w14:textId="1F78573F" w:rsidR="001F492A" w:rsidRPr="00072B06" w:rsidRDefault="001F492A" w:rsidP="00072B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  <w:u w:val="single"/>
        </w:rPr>
        <w:t xml:space="preserve">Step II: </w:t>
      </w:r>
    </w:p>
    <w:p w14:paraId="172002F5" w14:textId="348B159C" w:rsidR="001F492A" w:rsidRPr="00072B06" w:rsidRDefault="001F492A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number </w:t>
      </w:r>
      <w:r w:rsidR="005C05B1" w:rsidRPr="00072B06">
        <w:rPr>
          <w:rFonts w:ascii="Times New Roman" w:hAnsi="Times New Roman" w:cs="Times New Roman"/>
          <w:bCs/>
          <w:sz w:val="20"/>
          <w:szCs w:val="20"/>
        </w:rPr>
        <w:t>of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71835" w:rsidRPr="00072B06">
        <w:rPr>
          <w:rFonts w:ascii="Times New Roman" w:hAnsi="Times New Roman" w:cs="Times New Roman"/>
          <w:bCs/>
          <w:sz w:val="20"/>
          <w:szCs w:val="20"/>
        </w:rPr>
        <w:t>survivors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from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x+1,y+1,m,t</m:t>
            </m:r>
          </m:sub>
        </m:sSub>
      </m:oMath>
      <w:r w:rsidR="002233B2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019E3" w:rsidRPr="00072B06">
        <w:rPr>
          <w:rFonts w:ascii="Times New Roman" w:hAnsi="Times New Roman" w:cs="Times New Roman"/>
          <w:bCs/>
          <w:sz w:val="20"/>
          <w:szCs w:val="20"/>
        </w:rPr>
        <w:t>at the end of</w:t>
      </w:r>
      <w:r w:rsidR="002233B2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233B2" w:rsidRPr="00072B06">
        <w:rPr>
          <w:rFonts w:ascii="Times New Roman" w:hAnsi="Times New Roman" w:cs="Times New Roman"/>
          <w:bCs/>
          <w:i/>
          <w:sz w:val="20"/>
          <w:szCs w:val="20"/>
        </w:rPr>
        <w:t>y</w:t>
      </w:r>
      <w:r w:rsidR="005019E3" w:rsidRPr="00072B06">
        <w:rPr>
          <w:rFonts w:ascii="Times New Roman" w:hAnsi="Times New Roman" w:cs="Times New Roman"/>
          <w:bCs/>
          <w:i/>
          <w:sz w:val="20"/>
          <w:szCs w:val="20"/>
        </w:rPr>
        <w:t>+1</w:t>
      </w:r>
      <w:r w:rsidR="005019E3" w:rsidRPr="00072B06">
        <w:rPr>
          <w:rFonts w:ascii="Times New Roman" w:hAnsi="Times New Roman" w:cs="Times New Roman"/>
          <w:bCs/>
          <w:sz w:val="20"/>
          <w:szCs w:val="20"/>
        </w:rPr>
        <w:t xml:space="preserve"> are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calculated</w:t>
      </w:r>
      <w:r w:rsidR="005019E3" w:rsidRPr="00072B06">
        <w:rPr>
          <w:rFonts w:ascii="Times New Roman" w:hAnsi="Times New Roman" w:cs="Times New Roman"/>
          <w:bCs/>
          <w:sz w:val="20"/>
          <w:szCs w:val="20"/>
        </w:rPr>
        <w:t xml:space="preserve"> through multiplication with the age- and sex-specific survival rate (</w:t>
      </w:r>
      <w:r w:rsidR="005019E3" w:rsidRPr="00072B06">
        <w:rPr>
          <w:rFonts w:ascii="Times New Roman" w:hAnsi="Times New Roman" w:cs="Times New Roman"/>
          <w:bCs/>
          <w:i/>
          <w:sz w:val="20"/>
          <w:szCs w:val="20"/>
        </w:rPr>
        <w:t>ASSSR</w:t>
      </w:r>
      <w:r w:rsidR="005019E3" w:rsidRPr="00072B06">
        <w:rPr>
          <w:rFonts w:ascii="Times New Roman" w:hAnsi="Times New Roman" w:cs="Times New Roman"/>
          <w:bCs/>
          <w:sz w:val="20"/>
          <w:szCs w:val="20"/>
        </w:rPr>
        <w:t xml:space="preserve">)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</m:oMath>
      <w:r w:rsidR="005019E3" w:rsidRPr="00072B06">
        <w:rPr>
          <w:rFonts w:ascii="Times New Roman" w:hAnsi="Times New Roman" w:cs="Times New Roman"/>
          <w:bCs/>
          <w:sz w:val="20"/>
          <w:szCs w:val="20"/>
        </w:rPr>
        <w:t xml:space="preserve"> for persons aged</w:t>
      </w:r>
      <w:r w:rsidR="005019E3" w:rsidRPr="00072B06">
        <w:rPr>
          <w:rFonts w:ascii="Times New Roman" w:hAnsi="Times New Roman" w:cs="Times New Roman"/>
          <w:bCs/>
          <w:i/>
          <w:sz w:val="20"/>
          <w:szCs w:val="20"/>
        </w:rPr>
        <w:t xml:space="preserve"> x+1</w:t>
      </w:r>
      <w:r w:rsidR="005019E3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years of sex </w:t>
      </w:r>
      <w:r w:rsidR="002B1F4C" w:rsidRPr="00072B06">
        <w:rPr>
          <w:rFonts w:ascii="Times New Roman" w:hAnsi="Times New Roman" w:cs="Times New Roman"/>
          <w:bCs/>
          <w:i/>
          <w:sz w:val="20"/>
          <w:szCs w:val="20"/>
        </w:rPr>
        <w:t>g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019E3" w:rsidRPr="00072B06">
        <w:rPr>
          <w:rFonts w:ascii="Times New Roman" w:hAnsi="Times New Roman" w:cs="Times New Roman"/>
          <w:bCs/>
          <w:sz w:val="20"/>
          <w:szCs w:val="20"/>
        </w:rPr>
        <w:t xml:space="preserve">in year </w:t>
      </w:r>
      <w:r w:rsidR="005019E3" w:rsidRPr="00072B06">
        <w:rPr>
          <w:rFonts w:ascii="Times New Roman" w:hAnsi="Times New Roman" w:cs="Times New Roman"/>
          <w:bCs/>
          <w:i/>
          <w:sz w:val="20"/>
          <w:szCs w:val="20"/>
        </w:rPr>
        <w:t>y+1</w:t>
      </w:r>
      <w:r w:rsidR="005019E3" w:rsidRPr="00072B06">
        <w:rPr>
          <w:rFonts w:ascii="Times New Roman" w:hAnsi="Times New Roman" w:cs="Times New Roman"/>
          <w:bCs/>
          <w:sz w:val="20"/>
          <w:szCs w:val="20"/>
        </w:rPr>
        <w:t xml:space="preserve"> and in trajectory </w:t>
      </w:r>
      <w:r w:rsidR="005019E3" w:rsidRPr="00072B0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Pr="00072B06">
        <w:rPr>
          <w:rFonts w:ascii="Times New Roman" w:hAnsi="Times New Roman" w:cs="Times New Roman"/>
          <w:bCs/>
          <w:sz w:val="20"/>
          <w:szCs w:val="20"/>
        </w:rPr>
        <w:t>:</w:t>
      </w:r>
    </w:p>
    <w:p w14:paraId="49038A13" w14:textId="45B6141D" w:rsidR="001F492A" w:rsidRPr="00072B06" w:rsidRDefault="005D43CE" w:rsidP="00072B06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x+1,y+1,g,t</m:t>
            </m:r>
          </m:sub>
        </m:sSub>
      </m:oMath>
      <w:r w:rsidR="002B1F4C" w:rsidRPr="00072B06">
        <w:rPr>
          <w:rFonts w:ascii="Times New Roman" w:hAnsi="Times New Roman" w:cs="Times New Roman"/>
          <w:bCs/>
          <w:sz w:val="20"/>
          <w:szCs w:val="20"/>
        </w:rPr>
        <w:t>.</w:t>
      </w:r>
    </w:p>
    <w:p w14:paraId="1F5E944B" w14:textId="77777777" w:rsidR="00D5332E" w:rsidRPr="00072B06" w:rsidRDefault="00D5332E" w:rsidP="00072B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262DFDA0" w14:textId="4D67AC08" w:rsidR="00F71835" w:rsidRPr="00072B06" w:rsidRDefault="00F71835" w:rsidP="00072B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  <w:u w:val="single"/>
        </w:rPr>
        <w:t xml:space="preserve">Step III: </w:t>
      </w:r>
    </w:p>
    <w:p w14:paraId="265D9745" w14:textId="20EDDE9A" w:rsidR="00FC4F15" w:rsidRPr="00072B06" w:rsidRDefault="002B1F4C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</w:rPr>
        <w:t>The</w:t>
      </w:r>
      <w:r w:rsidR="00FC4F15" w:rsidRPr="00072B06">
        <w:rPr>
          <w:rFonts w:ascii="Times New Roman" w:hAnsi="Times New Roman" w:cs="Times New Roman"/>
          <w:bCs/>
          <w:sz w:val="20"/>
          <w:szCs w:val="20"/>
        </w:rPr>
        <w:t xml:space="preserve"> mean female population in </w:t>
      </w:r>
      <w:r w:rsidR="00FC4F15" w:rsidRPr="00072B06">
        <w:rPr>
          <w:rFonts w:ascii="Times New Roman" w:hAnsi="Times New Roman" w:cs="Times New Roman"/>
          <w:bCs/>
          <w:i/>
          <w:sz w:val="20"/>
          <w:szCs w:val="20"/>
        </w:rPr>
        <w:t>y+1</w:t>
      </w:r>
      <w:r w:rsidR="00FC4F15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11FD3" w:rsidRPr="00072B06">
        <w:rPr>
          <w:rFonts w:ascii="Times New Roman" w:hAnsi="Times New Roman" w:cs="Times New Roman"/>
          <w:bCs/>
          <w:sz w:val="20"/>
          <w:szCs w:val="20"/>
        </w:rPr>
        <w:t>in the reproductive age group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is approximated</w:t>
      </w:r>
      <w:r w:rsidR="00111FD3" w:rsidRPr="00072B06">
        <w:rPr>
          <w:rFonts w:ascii="Times New Roman" w:hAnsi="Times New Roman" w:cs="Times New Roman"/>
          <w:bCs/>
          <w:sz w:val="20"/>
          <w:szCs w:val="20"/>
        </w:rPr>
        <w:t>:</w:t>
      </w:r>
    </w:p>
    <w:p w14:paraId="11D95726" w14:textId="60816FBE" w:rsidR="00111FD3" w:rsidRPr="00072B06" w:rsidRDefault="005D43CE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x,y+1,w,t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Cs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x=14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52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x-1,y,w,t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x,y+1,w,t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 w:cs="Times New Roman"/>
              <w:sz w:val="20"/>
              <w:szCs w:val="20"/>
            </w:rPr>
            <m:t>.</m:t>
          </m:r>
        </m:oMath>
      </m:oMathPara>
    </w:p>
    <w:p w14:paraId="6BCEB201" w14:textId="150B2987" w:rsidR="005C2AAD" w:rsidRPr="00072B06" w:rsidRDefault="00570131" w:rsidP="00072B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</w:rPr>
        <w:t>T</w:t>
      </w:r>
      <w:r w:rsidR="005C2AAD" w:rsidRPr="00072B06">
        <w:rPr>
          <w:rFonts w:ascii="Times New Roman" w:hAnsi="Times New Roman" w:cs="Times New Roman"/>
          <w:bCs/>
          <w:sz w:val="20"/>
          <w:szCs w:val="20"/>
        </w:rPr>
        <w:t>his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approximation 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presumes constant migration and mortality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>during a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year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 because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we rely on annual data. This approach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>is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E3803" w:rsidRPr="00072B06">
        <w:rPr>
          <w:rFonts w:ascii="Times New Roman" w:hAnsi="Times New Roman" w:cs="Times New Roman"/>
          <w:bCs/>
          <w:sz w:val="20"/>
          <w:szCs w:val="20"/>
        </w:rPr>
        <w:t>mathematically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 practical;</w:t>
      </w:r>
      <w:r w:rsidR="009E3803" w:rsidRPr="00072B06">
        <w:rPr>
          <w:rFonts w:ascii="Times New Roman" w:hAnsi="Times New Roman" w:cs="Times New Roman"/>
          <w:bCs/>
          <w:sz w:val="20"/>
          <w:szCs w:val="20"/>
        </w:rPr>
        <w:t xml:space="preserve"> moreover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>,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we believe the possible error arising from this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>assumption is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extremely small and therefore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>produces no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fundamental error </w:t>
      </w:r>
      <w:r w:rsidR="002B1F4C" w:rsidRPr="00072B06">
        <w:rPr>
          <w:rFonts w:ascii="Times New Roman" w:hAnsi="Times New Roman" w:cs="Times New Roman"/>
          <w:bCs/>
          <w:sz w:val="20"/>
          <w:szCs w:val="20"/>
        </w:rPr>
        <w:t xml:space="preserve">in 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the future </w:t>
      </w:r>
      <w:r w:rsidRPr="00072B06">
        <w:rPr>
          <w:rFonts w:ascii="Times New Roman" w:hAnsi="Times New Roman" w:cs="Times New Roman"/>
          <w:bCs/>
          <w:color w:val="auto"/>
          <w:sz w:val="20"/>
          <w:szCs w:val="20"/>
        </w:rPr>
        <w:t>population</w:t>
      </w:r>
      <w:r w:rsidR="002B1F4C" w:rsidRPr="00072B0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estimation</w:t>
      </w:r>
      <w:r w:rsidR="00FF35CE" w:rsidRPr="00072B0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14:paraId="738FC5FF" w14:textId="77777777" w:rsidR="005C2AAD" w:rsidRPr="00072B06" w:rsidRDefault="005C2AAD" w:rsidP="00072B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14:paraId="729A1530" w14:textId="64388B12" w:rsidR="000111C3" w:rsidRPr="00072B06" w:rsidRDefault="000111C3" w:rsidP="00072B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  <w:u w:val="single"/>
        </w:rPr>
        <w:t xml:space="preserve">Step IV: </w:t>
      </w:r>
    </w:p>
    <w:p w14:paraId="6F80F25A" w14:textId="1A49E678" w:rsidR="00FC4F15" w:rsidRPr="00072B06" w:rsidRDefault="002B1F4C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</w:rPr>
        <w:t>T</w:t>
      </w:r>
      <w:r w:rsidR="000111C3" w:rsidRPr="00072B06">
        <w:rPr>
          <w:rFonts w:ascii="Times New Roman" w:hAnsi="Times New Roman" w:cs="Times New Roman"/>
          <w:bCs/>
          <w:sz w:val="20"/>
          <w:szCs w:val="20"/>
        </w:rPr>
        <w:t>he sex-specific</w:t>
      </w:r>
      <w:r w:rsidR="009E3803" w:rsidRPr="00072B06">
        <w:rPr>
          <w:rFonts w:ascii="Times New Roman" w:hAnsi="Times New Roman" w:cs="Times New Roman"/>
          <w:bCs/>
          <w:sz w:val="20"/>
          <w:szCs w:val="20"/>
        </w:rPr>
        <w:t xml:space="preserve"> live births</w:t>
      </w:r>
      <w:r w:rsidR="000111C3" w:rsidRPr="00072B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y+1,g,t</m:t>
            </m:r>
          </m:sub>
        </m:sSub>
      </m:oMath>
      <w:r w:rsidRPr="00072B06">
        <w:rPr>
          <w:rFonts w:ascii="Times New Roman" w:hAnsi="Times New Roman" w:cs="Times New Roman"/>
          <w:bCs/>
          <w:sz w:val="20"/>
          <w:szCs w:val="20"/>
        </w:rPr>
        <w:t xml:space="preserve"> are estimated</w:t>
      </w:r>
      <w:r w:rsidR="00B07425" w:rsidRPr="00072B06">
        <w:rPr>
          <w:rFonts w:ascii="Times New Roman" w:hAnsi="Times New Roman" w:cs="Times New Roman"/>
          <w:bCs/>
          <w:sz w:val="20"/>
          <w:szCs w:val="20"/>
        </w:rPr>
        <w:t>:</w:t>
      </w:r>
    </w:p>
    <w:p w14:paraId="27BEC305" w14:textId="352C4595" w:rsidR="000111C3" w:rsidRPr="00072B06" w:rsidRDefault="005D43CE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y+1,g,t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Cs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x=14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52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x,y+1,w,t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x,y+1,g,t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14:paraId="26EB8A7B" w14:textId="51DAAC9B" w:rsidR="00445819" w:rsidRPr="00072B06" w:rsidRDefault="002B1F4C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72B06">
        <w:rPr>
          <w:rFonts w:ascii="Times New Roman" w:hAnsi="Times New Roman" w:cs="Times New Roman"/>
          <w:bCs/>
          <w:sz w:val="20"/>
          <w:szCs w:val="20"/>
        </w:rPr>
        <w:t>where</w:t>
      </w:r>
      <w:proofErr w:type="gramEnd"/>
      <w:r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x,y+1,g,t</m:t>
            </m:r>
          </m:sub>
        </m:sSub>
      </m:oMath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 denot</w:t>
      </w:r>
      <w:r w:rsidRPr="00072B06">
        <w:rPr>
          <w:rFonts w:ascii="Times New Roman" w:hAnsi="Times New Roman" w:cs="Times New Roman"/>
          <w:bCs/>
          <w:sz w:val="20"/>
          <w:szCs w:val="20"/>
        </w:rPr>
        <w:t>es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 the ASSFR for females aged </w:t>
      </w:r>
      <w:r w:rsidR="00514B9E" w:rsidRPr="00072B06">
        <w:rPr>
          <w:rFonts w:ascii="Times New Roman" w:hAnsi="Times New Roman" w:cs="Times New Roman"/>
          <w:bCs/>
          <w:i/>
          <w:sz w:val="20"/>
          <w:szCs w:val="20"/>
        </w:rPr>
        <w:t>x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years 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in year </w:t>
      </w:r>
      <w:r w:rsidR="00514B9E" w:rsidRPr="00072B06">
        <w:rPr>
          <w:rFonts w:ascii="Times New Roman" w:hAnsi="Times New Roman" w:cs="Times New Roman"/>
          <w:bCs/>
          <w:i/>
          <w:sz w:val="20"/>
          <w:szCs w:val="20"/>
        </w:rPr>
        <w:t>y+1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 conceiv</w:t>
      </w:r>
      <w:r w:rsidR="003B7CA9" w:rsidRPr="00072B06">
        <w:rPr>
          <w:rFonts w:ascii="Times New Roman" w:hAnsi="Times New Roman" w:cs="Times New Roman"/>
          <w:bCs/>
          <w:sz w:val="20"/>
          <w:szCs w:val="20"/>
        </w:rPr>
        <w:t>ing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 babies 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of 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sex </w:t>
      </w:r>
      <w:r w:rsidR="00514B9E" w:rsidRPr="00072B06">
        <w:rPr>
          <w:rFonts w:ascii="Times New Roman" w:hAnsi="Times New Roman" w:cs="Times New Roman"/>
          <w:bCs/>
          <w:i/>
          <w:sz w:val="20"/>
          <w:szCs w:val="20"/>
        </w:rPr>
        <w:t xml:space="preserve">g 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 xml:space="preserve">in trajectory </w:t>
      </w:r>
      <w:r w:rsidR="00514B9E" w:rsidRPr="00072B0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514B9E" w:rsidRPr="00072B06">
        <w:rPr>
          <w:rFonts w:ascii="Times New Roman" w:hAnsi="Times New Roman" w:cs="Times New Roman"/>
          <w:bCs/>
          <w:sz w:val="20"/>
          <w:szCs w:val="20"/>
        </w:rPr>
        <w:t>.</w:t>
      </w:r>
    </w:p>
    <w:p w14:paraId="2C62C31B" w14:textId="319E226E" w:rsidR="00157755" w:rsidRPr="00072B06" w:rsidRDefault="00157755" w:rsidP="00072B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  <w:u w:val="single"/>
        </w:rPr>
        <w:t xml:space="preserve">Step V: </w:t>
      </w:r>
    </w:p>
    <w:p w14:paraId="61440230" w14:textId="6FE23ABA" w:rsidR="00157755" w:rsidRPr="00072B06" w:rsidRDefault="002B1F4C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</w:rPr>
        <w:t>The</w:t>
      </w:r>
      <w:r w:rsidR="00157755" w:rsidRPr="00072B06">
        <w:rPr>
          <w:rFonts w:ascii="Times New Roman" w:hAnsi="Times New Roman" w:cs="Times New Roman"/>
          <w:bCs/>
          <w:sz w:val="20"/>
          <w:szCs w:val="20"/>
        </w:rPr>
        <w:t xml:space="preserve"> number of survivors among the children born in </w:t>
      </w:r>
      <w:r w:rsidR="00157755" w:rsidRPr="00072B06">
        <w:rPr>
          <w:rFonts w:ascii="Times New Roman" w:hAnsi="Times New Roman" w:cs="Times New Roman"/>
          <w:bCs/>
          <w:i/>
          <w:sz w:val="20"/>
          <w:szCs w:val="20"/>
        </w:rPr>
        <w:t>y+1</w:t>
      </w:r>
      <w:r w:rsidRPr="00072B06">
        <w:rPr>
          <w:rFonts w:ascii="Times New Roman" w:hAnsi="Times New Roman" w:cs="Times New Roman"/>
          <w:bCs/>
          <w:sz w:val="20"/>
          <w:szCs w:val="20"/>
        </w:rPr>
        <w:t xml:space="preserve"> is calculated</w:t>
      </w:r>
      <w:r w:rsidR="00157755" w:rsidRPr="00072B06">
        <w:rPr>
          <w:rFonts w:ascii="Times New Roman" w:hAnsi="Times New Roman" w:cs="Times New Roman"/>
          <w:bCs/>
          <w:sz w:val="20"/>
          <w:szCs w:val="20"/>
        </w:rPr>
        <w:t>:</w:t>
      </w:r>
    </w:p>
    <w:p w14:paraId="4BEC9745" w14:textId="7BB22F05" w:rsidR="00157755" w:rsidRPr="00072B06" w:rsidRDefault="005D43CE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0,y+1,g,t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y+1,g,t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0,y+1,g,t</m:t>
            </m:r>
          </m:sub>
        </m:sSub>
      </m:oMath>
      <w:r w:rsidR="002B1F4C" w:rsidRPr="00072B06">
        <w:rPr>
          <w:rFonts w:ascii="Times New Roman" w:hAnsi="Times New Roman" w:cs="Times New Roman"/>
          <w:bCs/>
          <w:sz w:val="20"/>
          <w:szCs w:val="20"/>
        </w:rPr>
        <w:t>.</w:t>
      </w:r>
    </w:p>
    <w:p w14:paraId="683C2381" w14:textId="7729FFA9" w:rsidR="000111C3" w:rsidRPr="00072B06" w:rsidRDefault="002B1F4C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sz w:val="20"/>
          <w:szCs w:val="20"/>
        </w:rPr>
        <w:t xml:space="preserve">In this </w:t>
      </w:r>
      <w:r w:rsidR="009D78ED" w:rsidRPr="00072B06">
        <w:rPr>
          <w:rFonts w:ascii="Times New Roman" w:hAnsi="Times New Roman" w:cs="Times New Roman"/>
          <w:bCs/>
          <w:sz w:val="20"/>
          <w:szCs w:val="20"/>
        </w:rPr>
        <w:t xml:space="preserve">way, the population by sex and age in year </w:t>
      </w:r>
      <w:r w:rsidR="009D78ED" w:rsidRPr="00072B06">
        <w:rPr>
          <w:rFonts w:ascii="Times New Roman" w:hAnsi="Times New Roman" w:cs="Times New Roman"/>
          <w:bCs/>
          <w:i/>
          <w:sz w:val="20"/>
          <w:szCs w:val="20"/>
        </w:rPr>
        <w:t>y+1</w:t>
      </w:r>
      <w:r w:rsidR="009D78ED" w:rsidRPr="00072B06">
        <w:rPr>
          <w:rFonts w:ascii="Times New Roman" w:hAnsi="Times New Roman" w:cs="Times New Roman"/>
          <w:bCs/>
          <w:sz w:val="20"/>
          <w:szCs w:val="20"/>
        </w:rPr>
        <w:t xml:space="preserve"> in trajectory </w:t>
      </w:r>
      <w:r w:rsidR="00946B89" w:rsidRPr="00072B06">
        <w:rPr>
          <w:rFonts w:ascii="Times New Roman" w:hAnsi="Times New Roman" w:cs="Times New Roman"/>
          <w:bCs/>
          <w:i/>
          <w:sz w:val="20"/>
          <w:szCs w:val="20"/>
        </w:rPr>
        <w:t>t</w:t>
      </w:r>
      <w:r w:rsidR="00946B89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D78ED" w:rsidRPr="00072B06">
        <w:rPr>
          <w:rFonts w:ascii="Times New Roman" w:hAnsi="Times New Roman" w:cs="Times New Roman"/>
          <w:bCs/>
          <w:sz w:val="20"/>
          <w:szCs w:val="20"/>
        </w:rPr>
        <w:t xml:space="preserve">is </w:t>
      </w:r>
      <w:r w:rsidR="00DE1DF1" w:rsidRPr="00072B06">
        <w:rPr>
          <w:rFonts w:ascii="Times New Roman" w:hAnsi="Times New Roman" w:cs="Times New Roman"/>
          <w:bCs/>
          <w:sz w:val="20"/>
          <w:szCs w:val="20"/>
        </w:rPr>
        <w:t>obtained</w:t>
      </w:r>
      <w:r w:rsidR="009D78ED" w:rsidRPr="00072B06">
        <w:rPr>
          <w:rFonts w:ascii="Times New Roman" w:hAnsi="Times New Roman" w:cs="Times New Roman"/>
          <w:bCs/>
          <w:sz w:val="20"/>
          <w:szCs w:val="20"/>
        </w:rPr>
        <w:t>.</w:t>
      </w:r>
    </w:p>
    <w:p w14:paraId="106B73DE" w14:textId="5C76AC1B" w:rsidR="009D3B0D" w:rsidRPr="00072B06" w:rsidRDefault="009D3B0D" w:rsidP="00072B06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="00FF35CE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algorithm</w:t>
      </w: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is illustrated in </w:t>
      </w:r>
      <w:r w:rsidR="003B7CA9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F</w:t>
      </w: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igure 1</w:t>
      </w:r>
      <w:r w:rsidR="003B7CA9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0548BA68" w14:textId="3C0A0988" w:rsidR="009D3B0D" w:rsidRPr="00C31CA5" w:rsidRDefault="009D3B0D" w:rsidP="00C31CA5">
      <w:pPr>
        <w:pStyle w:val="Beschriftung"/>
        <w:keepNext/>
        <w:spacing w:before="240" w:after="0"/>
        <w:jc w:val="both"/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</w:pPr>
      <w:bookmarkStart w:id="0" w:name="_GoBack"/>
      <w:bookmarkEnd w:id="0"/>
      <w:r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lastRenderedPageBreak/>
        <w:t xml:space="preserve">Figure </w:t>
      </w:r>
      <w:r w:rsidR="00B40CDE"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fldChar w:fldCharType="begin"/>
      </w:r>
      <w:r w:rsidR="00B40CDE"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instrText xml:space="preserve"> SEQ Figure \* ARABIC </w:instrText>
      </w:r>
      <w:r w:rsidR="00B40CDE"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fldChar w:fldCharType="separate"/>
      </w:r>
      <w:r w:rsidR="00A52E67"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t>1</w:t>
      </w:r>
      <w:r w:rsidR="00B40CDE"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fldChar w:fldCharType="end"/>
      </w:r>
      <w:r w:rsidR="00C31CA5"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t>:</w:t>
      </w:r>
      <w:r w:rsidRPr="00C31CA5">
        <w:rPr>
          <w:rFonts w:ascii="Times New Roman" w:hAnsi="Times New Roman" w:cs="Times New Roman"/>
          <w:color w:val="000000" w:themeColor="text1"/>
          <w:sz w:val="16"/>
          <w:szCs w:val="20"/>
          <w:lang w:val="en-US"/>
        </w:rPr>
        <w:t xml:space="preserve"> Process of Annual Population Update</w:t>
      </w:r>
    </w:p>
    <w:p w14:paraId="5223E872" w14:textId="77777777" w:rsidR="009D3B0D" w:rsidRPr="00072B06" w:rsidRDefault="009D3B0D" w:rsidP="00072B0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72B06">
        <w:rPr>
          <w:rFonts w:ascii="Times New Roman" w:hAnsi="Times New Roman" w:cs="Times New Roman"/>
          <w:bCs/>
          <w:noProof/>
          <w:color w:val="000000" w:themeColor="text1"/>
          <w:sz w:val="20"/>
          <w:szCs w:val="20"/>
          <w:lang w:val="de-DE" w:eastAsia="de-DE"/>
        </w:rPr>
        <w:drawing>
          <wp:inline distT="0" distB="0" distL="0" distR="0" wp14:anchorId="08093794" wp14:editId="2CE5B19F">
            <wp:extent cx="4860000" cy="3240000"/>
            <wp:effectExtent l="19050" t="19050" r="17145" b="17780"/>
            <wp:docPr id="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992DE3" w14:textId="77777777" w:rsidR="009D3B0D" w:rsidRPr="00C31CA5" w:rsidRDefault="009D3B0D" w:rsidP="00072B06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16"/>
          <w:szCs w:val="20"/>
        </w:rPr>
      </w:pPr>
      <w:r w:rsidRPr="00C31CA5">
        <w:rPr>
          <w:rFonts w:ascii="Times New Roman" w:hAnsi="Times New Roman" w:cs="Times New Roman"/>
          <w:bCs/>
          <w:color w:val="000000" w:themeColor="text1"/>
          <w:sz w:val="16"/>
          <w:szCs w:val="20"/>
        </w:rPr>
        <w:t>Source: Own design</w:t>
      </w:r>
    </w:p>
    <w:p w14:paraId="4B1C7B5E" w14:textId="1C6CCB1A" w:rsidR="007E500C" w:rsidRPr="00072B06" w:rsidRDefault="00F47767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This</w:t>
      </w:r>
      <w:r w:rsidR="00FF35CE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C6199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process</w:t>
      </w:r>
      <w:r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is then used to </w:t>
      </w:r>
      <w:r w:rsidR="00FF35CE" w:rsidRPr="00072B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stochastically forecast the population by sex and age until the year 2040. </w:t>
      </w:r>
      <w:r w:rsidR="00A4013F" w:rsidRPr="00072B06">
        <w:rPr>
          <w:rFonts w:ascii="Times New Roman" w:hAnsi="Times New Roman" w:cs="Times New Roman"/>
          <w:bCs/>
          <w:sz w:val="20"/>
          <w:szCs w:val="20"/>
        </w:rPr>
        <w:t xml:space="preserve">The future development of the population is forecast </w:t>
      </w:r>
      <w:r w:rsidR="004B78B5" w:rsidRPr="00072B06">
        <w:rPr>
          <w:rFonts w:ascii="Times New Roman" w:hAnsi="Times New Roman" w:cs="Times New Roman"/>
          <w:bCs/>
          <w:sz w:val="20"/>
          <w:szCs w:val="20"/>
        </w:rPr>
        <w:t xml:space="preserve">by </w:t>
      </w:r>
      <w:r w:rsidR="00A4013F" w:rsidRPr="00072B06">
        <w:rPr>
          <w:rFonts w:ascii="Times New Roman" w:hAnsi="Times New Roman" w:cs="Times New Roman"/>
          <w:bCs/>
          <w:sz w:val="20"/>
          <w:szCs w:val="20"/>
        </w:rPr>
        <w:t>estimat</w:t>
      </w:r>
      <w:r w:rsidR="004B78B5" w:rsidRPr="00072B06">
        <w:rPr>
          <w:rFonts w:ascii="Times New Roman" w:hAnsi="Times New Roman" w:cs="Times New Roman"/>
          <w:bCs/>
          <w:sz w:val="20"/>
          <w:szCs w:val="20"/>
        </w:rPr>
        <w:t>ing</w:t>
      </w:r>
      <w:r w:rsidR="00A4013F" w:rsidRPr="00072B06">
        <w:rPr>
          <w:rFonts w:ascii="Times New Roman" w:hAnsi="Times New Roman" w:cs="Times New Roman"/>
          <w:bCs/>
          <w:sz w:val="20"/>
          <w:szCs w:val="20"/>
        </w:rPr>
        <w:t xml:space="preserve"> the future course of the demographic components</w:t>
      </w:r>
      <w:r w:rsidR="004B78B5" w:rsidRPr="00072B06">
        <w:rPr>
          <w:rFonts w:ascii="Times New Roman" w:hAnsi="Times New Roman" w:cs="Times New Roman"/>
          <w:bCs/>
          <w:sz w:val="20"/>
          <w:szCs w:val="20"/>
        </w:rPr>
        <w:t xml:space="preserve"> of</w:t>
      </w:r>
      <w:r w:rsidR="00A4013F" w:rsidRPr="00072B06">
        <w:rPr>
          <w:rFonts w:ascii="Times New Roman" w:hAnsi="Times New Roman" w:cs="Times New Roman"/>
          <w:bCs/>
          <w:sz w:val="20"/>
          <w:szCs w:val="20"/>
        </w:rPr>
        <w:t xml:space="preserve"> fertility (through </w:t>
      </w:r>
      <w:r w:rsidR="00BB44E0" w:rsidRPr="00072B06">
        <w:rPr>
          <w:rFonts w:ascii="Times New Roman" w:hAnsi="Times New Roman" w:cs="Times New Roman"/>
          <w:bCs/>
          <w:sz w:val="20"/>
          <w:szCs w:val="20"/>
        </w:rPr>
        <w:t>ASSFRs</w:t>
      </w:r>
      <w:r w:rsidR="00A4013F" w:rsidRPr="00072B06">
        <w:rPr>
          <w:rFonts w:ascii="Times New Roman" w:hAnsi="Times New Roman" w:cs="Times New Roman"/>
          <w:bCs/>
          <w:sz w:val="20"/>
          <w:szCs w:val="20"/>
        </w:rPr>
        <w:t>), migration (</w:t>
      </w:r>
      <w:r w:rsidR="00BB44E0" w:rsidRPr="00072B06">
        <w:rPr>
          <w:rFonts w:ascii="Times New Roman" w:hAnsi="Times New Roman" w:cs="Times New Roman"/>
          <w:bCs/>
          <w:sz w:val="20"/>
          <w:szCs w:val="20"/>
        </w:rPr>
        <w:t>ASNSNM</w:t>
      </w:r>
      <w:r w:rsidR="00A4013F" w:rsidRPr="00072B06">
        <w:rPr>
          <w:rFonts w:ascii="Times New Roman" w:hAnsi="Times New Roman" w:cs="Times New Roman"/>
          <w:bCs/>
          <w:sz w:val="20"/>
          <w:szCs w:val="20"/>
        </w:rPr>
        <w:t xml:space="preserve">), and </w:t>
      </w:r>
      <w:r w:rsidR="00537A8F" w:rsidRPr="00072B06">
        <w:rPr>
          <w:rFonts w:ascii="Times New Roman" w:hAnsi="Times New Roman" w:cs="Times New Roman"/>
          <w:bCs/>
          <w:sz w:val="20"/>
          <w:szCs w:val="20"/>
        </w:rPr>
        <w:t>mortality (</w:t>
      </w:r>
      <w:r w:rsidR="00BB44E0" w:rsidRPr="00072B06">
        <w:rPr>
          <w:rFonts w:ascii="Times New Roman" w:hAnsi="Times New Roman" w:cs="Times New Roman"/>
          <w:bCs/>
          <w:sz w:val="20"/>
          <w:szCs w:val="20"/>
        </w:rPr>
        <w:t>ASSSRs</w:t>
      </w:r>
      <w:r w:rsidR="00537A8F" w:rsidRPr="00072B06">
        <w:rPr>
          <w:rFonts w:ascii="Times New Roman" w:hAnsi="Times New Roman" w:cs="Times New Roman"/>
          <w:bCs/>
          <w:sz w:val="20"/>
          <w:szCs w:val="20"/>
        </w:rPr>
        <w:t xml:space="preserve">). The 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underlying variables are simulated indirectly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on the basis of the 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>stochastic trajectories of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 the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5A63" w:rsidRPr="00072B06">
        <w:rPr>
          <w:rFonts w:ascii="Times New Roman" w:hAnsi="Times New Roman" w:cs="Times New Roman"/>
          <w:bCs/>
          <w:sz w:val="20"/>
          <w:szCs w:val="20"/>
        </w:rPr>
        <w:t>PCs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, which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>were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 derived in earlier studies. A quasi-two PC time series model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>,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 as proposed by</w:t>
      </w:r>
      <w:r w:rsidR="00A4013F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86B9E" w:rsidRPr="00072B06">
        <w:rPr>
          <w:rFonts w:ascii="Times New Roman" w:hAnsi="Times New Roman" w:cs="Times New Roman"/>
          <w:bCs/>
          <w:sz w:val="20"/>
          <w:szCs w:val="20"/>
        </w:rPr>
        <w:t>Vanella (2017</w:t>
      </w:r>
      <w:r w:rsidR="009F11C5" w:rsidRPr="00072B06">
        <w:rPr>
          <w:rFonts w:ascii="Times New Roman" w:hAnsi="Times New Roman" w:cs="Times New Roman"/>
          <w:bCs/>
          <w:sz w:val="20"/>
          <w:szCs w:val="20"/>
        </w:rPr>
        <w:t>a</w:t>
      </w:r>
      <w:r w:rsidR="00933FDE" w:rsidRPr="00072B06">
        <w:rPr>
          <w:rFonts w:ascii="Times New Roman" w:hAnsi="Times New Roman" w:cs="Times New Roman"/>
          <w:bCs/>
          <w:sz w:val="20"/>
          <w:szCs w:val="20"/>
        </w:rPr>
        <w:t>: 5</w:t>
      </w:r>
      <w:r w:rsidR="00843615" w:rsidRPr="00072B06">
        <w:rPr>
          <w:rFonts w:ascii="Times New Roman" w:hAnsi="Times New Roman" w:cs="Times New Roman"/>
          <w:bCs/>
          <w:sz w:val="20"/>
          <w:szCs w:val="20"/>
        </w:rPr>
        <w:t>43</w:t>
      </w:r>
      <w:r w:rsidR="00933FDE" w:rsidRPr="00072B06">
        <w:rPr>
          <w:rFonts w:ascii="Times New Roman" w:hAnsi="Times New Roman" w:cs="Times New Roman"/>
          <w:bCs/>
          <w:sz w:val="20"/>
          <w:szCs w:val="20"/>
        </w:rPr>
        <w:t>-</w:t>
      </w:r>
      <w:r w:rsidR="00843615" w:rsidRPr="00072B06">
        <w:rPr>
          <w:rFonts w:ascii="Times New Roman" w:hAnsi="Times New Roman" w:cs="Times New Roman"/>
          <w:bCs/>
          <w:sz w:val="20"/>
          <w:szCs w:val="20"/>
        </w:rPr>
        <w:t>549</w:t>
      </w:r>
      <w:r w:rsidR="00586B9E" w:rsidRPr="00072B06">
        <w:rPr>
          <w:rFonts w:ascii="Times New Roman" w:hAnsi="Times New Roman" w:cs="Times New Roman"/>
          <w:bCs/>
          <w:sz w:val="20"/>
          <w:szCs w:val="20"/>
        </w:rPr>
        <w:t>)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>,</w:t>
      </w:r>
      <w:r w:rsidR="00586B9E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is used to </w:t>
      </w:r>
      <w:r w:rsidR="00586B9E" w:rsidRPr="00072B06">
        <w:rPr>
          <w:rFonts w:ascii="Times New Roman" w:hAnsi="Times New Roman" w:cs="Times New Roman"/>
          <w:bCs/>
          <w:sz w:val="20"/>
          <w:szCs w:val="20"/>
        </w:rPr>
        <w:t xml:space="preserve">forecast the 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>logistically transformed ASSSR</w:t>
      </w:r>
      <w:r w:rsidR="00757389" w:rsidRPr="00072B06">
        <w:rPr>
          <w:rFonts w:ascii="Times New Roman" w:hAnsi="Times New Roman" w:cs="Times New Roman"/>
          <w:bCs/>
          <w:sz w:val="20"/>
          <w:szCs w:val="20"/>
        </w:rPr>
        <w:t>s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. The first PC is a general mortality index, similar to the classic Lee-Carter index. The second PC is a behavioral index representing differences in mortality between the two </w:t>
      </w:r>
      <w:r w:rsidR="005D5A63" w:rsidRPr="00072B06">
        <w:rPr>
          <w:rFonts w:ascii="Times New Roman" w:hAnsi="Times New Roman" w:cs="Times New Roman"/>
          <w:bCs/>
          <w:sz w:val="20"/>
          <w:szCs w:val="20"/>
        </w:rPr>
        <w:t>sexes</w:t>
      </w:r>
      <w:r w:rsidR="00BA4F66" w:rsidRPr="00072B06">
        <w:rPr>
          <w:rFonts w:ascii="Times New Roman" w:hAnsi="Times New Roman" w:cs="Times New Roman"/>
          <w:bCs/>
          <w:sz w:val="20"/>
          <w:szCs w:val="20"/>
        </w:rPr>
        <w:t xml:space="preserve"> associated with nutritional and smoking behavior.</w:t>
      </w:r>
      <w:r w:rsidR="005F4A68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 xml:space="preserve">Migration flows are accounted for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via 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 xml:space="preserve">the quasi-two PC forecast model for </w:t>
      </w:r>
      <w:r w:rsidR="007E500C" w:rsidRPr="00072B06">
        <w:rPr>
          <w:rFonts w:ascii="Times New Roman" w:hAnsi="Times New Roman" w:cs="Times New Roman"/>
          <w:bCs/>
          <w:sz w:val="20"/>
          <w:szCs w:val="20"/>
        </w:rPr>
        <w:t>ASNSNM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proposed 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 xml:space="preserve">by Vanella and Deschermeier </w:t>
      </w:r>
      <w:r w:rsidR="00B029E1" w:rsidRPr="00072B06">
        <w:rPr>
          <w:rFonts w:ascii="Times New Roman" w:hAnsi="Times New Roman" w:cs="Times New Roman"/>
          <w:bCs/>
          <w:sz w:val="20"/>
          <w:szCs w:val="20"/>
        </w:rPr>
        <w:t>(2017</w:t>
      </w:r>
      <w:r w:rsidR="001278E5" w:rsidRPr="00072B06">
        <w:rPr>
          <w:rFonts w:ascii="Times New Roman" w:hAnsi="Times New Roman" w:cs="Times New Roman"/>
          <w:bCs/>
          <w:sz w:val="20"/>
          <w:szCs w:val="20"/>
        </w:rPr>
        <w:t>: 15-22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>)</w:t>
      </w:r>
      <w:r w:rsidR="00B029E1" w:rsidRPr="00072B06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>In this case, the first PC is a labor market index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 xml:space="preserve"> the second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>PC</w:t>
      </w:r>
      <w:r w:rsidR="00B07425" w:rsidRPr="00072B06">
        <w:rPr>
          <w:rFonts w:ascii="Times New Roman" w:hAnsi="Times New Roman" w:cs="Times New Roman"/>
          <w:bCs/>
          <w:sz w:val="20"/>
          <w:szCs w:val="20"/>
        </w:rPr>
        <w:t xml:space="preserve"> addresses</w:t>
      </w:r>
      <w:r w:rsidR="0001728D" w:rsidRPr="00072B06">
        <w:rPr>
          <w:rFonts w:ascii="Times New Roman" w:hAnsi="Times New Roman" w:cs="Times New Roman"/>
          <w:bCs/>
          <w:sz w:val="20"/>
          <w:szCs w:val="20"/>
        </w:rPr>
        <w:t xml:space="preserve"> the migration resulting primarily from humanitarian or economic crises. </w:t>
      </w:r>
      <w:r w:rsidR="00526552" w:rsidRPr="00072B06">
        <w:rPr>
          <w:rFonts w:ascii="Times New Roman" w:hAnsi="Times New Roman" w:cs="Times New Roman"/>
          <w:bCs/>
          <w:sz w:val="20"/>
          <w:szCs w:val="20"/>
        </w:rPr>
        <w:t>The fertility model builds upon the results of the mentioned migration model.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 This component is forecast by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quasi-three PC model proposed by Vanella (2017b: 11-24). In this case, the first PC is associated with the tempo effect in fertility,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i.e., 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the postponement of births from younger ages to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>older ages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>. The second PC is a quantum index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 used to address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 general trends in the quantity of reproductive behavior in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 society. The third PC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>considers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 the impact of the migration level on fertility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 and is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 derived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via 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econometric specification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of 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 xml:space="preserve">the influence through the second PC of the migration model </w:t>
      </w:r>
      <w:r w:rsidR="00377D3C" w:rsidRPr="00072B06">
        <w:rPr>
          <w:rFonts w:ascii="Times New Roman" w:hAnsi="Times New Roman" w:cs="Times New Roman"/>
          <w:bCs/>
          <w:sz w:val="20"/>
          <w:szCs w:val="20"/>
        </w:rPr>
        <w:t xml:space="preserve">proposed </w:t>
      </w:r>
      <w:r w:rsidR="008F28CF" w:rsidRPr="00072B06">
        <w:rPr>
          <w:rFonts w:ascii="Times New Roman" w:hAnsi="Times New Roman" w:cs="Times New Roman"/>
          <w:bCs/>
          <w:sz w:val="20"/>
          <w:szCs w:val="20"/>
        </w:rPr>
        <w:t>by Vanella and Deschermeier (2017: 12-17).</w:t>
      </w:r>
    </w:p>
    <w:p w14:paraId="73072CDF" w14:textId="77777777" w:rsidR="00C83B67" w:rsidRPr="00072B06" w:rsidRDefault="00C83B67" w:rsidP="00072B06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6456D1" w14:textId="0B92DE35" w:rsidR="007F69EF" w:rsidRPr="00072B06" w:rsidRDefault="00072B06" w:rsidP="00072B0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072B06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="007F69EF" w:rsidRPr="00072B06">
        <w:rPr>
          <w:rFonts w:ascii="Times New Roman" w:hAnsi="Times New Roman" w:cs="Times New Roman"/>
          <w:b/>
          <w:bCs/>
          <w:sz w:val="24"/>
          <w:szCs w:val="20"/>
        </w:rPr>
        <w:t xml:space="preserve"> Population </w:t>
      </w:r>
      <w:r w:rsidR="007E500C" w:rsidRPr="00072B06">
        <w:rPr>
          <w:rFonts w:ascii="Times New Roman" w:hAnsi="Times New Roman" w:cs="Times New Roman"/>
          <w:b/>
          <w:bCs/>
          <w:sz w:val="24"/>
          <w:szCs w:val="20"/>
        </w:rPr>
        <w:t>D</w:t>
      </w:r>
      <w:r w:rsidR="007F69EF" w:rsidRPr="00072B06">
        <w:rPr>
          <w:rFonts w:ascii="Times New Roman" w:hAnsi="Times New Roman" w:cs="Times New Roman"/>
          <w:b/>
          <w:bCs/>
          <w:sz w:val="24"/>
          <w:szCs w:val="20"/>
        </w:rPr>
        <w:t xml:space="preserve">evelopment </w:t>
      </w:r>
      <w:r w:rsidR="007E500C" w:rsidRPr="00072B06">
        <w:rPr>
          <w:rFonts w:ascii="Times New Roman" w:hAnsi="Times New Roman" w:cs="Times New Roman"/>
          <w:b/>
          <w:bCs/>
          <w:sz w:val="24"/>
          <w:szCs w:val="20"/>
        </w:rPr>
        <w:t>in</w:t>
      </w:r>
      <w:r w:rsidR="007F69EF" w:rsidRPr="00072B06">
        <w:rPr>
          <w:rFonts w:ascii="Times New Roman" w:hAnsi="Times New Roman" w:cs="Times New Roman"/>
          <w:b/>
          <w:bCs/>
          <w:sz w:val="24"/>
          <w:szCs w:val="20"/>
        </w:rPr>
        <w:t xml:space="preserve"> Germany until 2040</w:t>
      </w:r>
    </w:p>
    <w:p w14:paraId="5A64058A" w14:textId="4FB55C7A" w:rsidR="00412FD6" w:rsidRPr="00072B06" w:rsidRDefault="00412FD6" w:rsidP="00072B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The combination of the resulting trajectories for the demographic components results in a probabilisti</w:t>
      </w:r>
      <w:r w:rsidR="0051591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c cohort-component model for fo</w:t>
      </w:r>
      <w:r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51591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casting the age- and sex-specific population for the ages 0-115</w:t>
      </w:r>
      <w:r w:rsidR="00A1103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years</w:t>
      </w:r>
      <w:r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</w:t>
      </w:r>
      <w:r w:rsidR="00A1103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initial 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population </w:t>
      </w:r>
      <w:r w:rsidR="00A1103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the forecast is the</w:t>
      </w:r>
      <w:r w:rsidR="00CA388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age- and sex-specific population </w:t>
      </w:r>
      <w:r w:rsidR="00CA388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reported </w:t>
      </w:r>
      <w:r w:rsidR="00A1103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 Destatis </w:t>
      </w:r>
      <w:r w:rsidR="00CA388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December </w:t>
      </w:r>
      <w:r w:rsidR="004C7E9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31, 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2015. </w:t>
      </w:r>
      <w:r w:rsidR="002F49B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Population numbers for ages 100 years and over are not available in detail but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are </w:t>
      </w:r>
      <w:r w:rsidR="002F49B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rather aggregated</w:t>
      </w:r>
      <w:r w:rsidR="00047B21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into an upper age group</w:t>
      </w:r>
      <w:r w:rsidR="002F49B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Thus, we approximated the population in this age group through an own population update </w:t>
      </w:r>
      <w:r w:rsidR="00A1103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based on </w:t>
      </w:r>
      <w:r w:rsidR="000335D2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the death counts by age and sex</w:t>
      </w:r>
      <w:r w:rsidR="004C7E9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B01E635" w14:textId="45B7E947" w:rsidR="00320ACE" w:rsidRPr="00072B06" w:rsidRDefault="00B07425" w:rsidP="00072B06">
      <w:pPr>
        <w:pStyle w:val="Kommentartext"/>
        <w:rPr>
          <w:rFonts w:ascii="Times New Roman" w:hAnsi="Times New Roman" w:cs="Times New Roman"/>
          <w:color w:val="000000" w:themeColor="text1"/>
        </w:rPr>
      </w:pPr>
      <w:r w:rsidRPr="00072B06">
        <w:rPr>
          <w:rFonts w:ascii="Times New Roman" w:hAnsi="Times New Roman" w:cs="Times New Roman"/>
          <w:color w:val="000000" w:themeColor="text1"/>
        </w:rPr>
        <w:t xml:space="preserve">In general, 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we observe </w:t>
      </w:r>
      <w:r w:rsidR="002B7559" w:rsidRPr="00072B06">
        <w:rPr>
          <w:rFonts w:ascii="Times New Roman" w:hAnsi="Times New Roman" w:cs="Times New Roman"/>
          <w:color w:val="000000" w:themeColor="text1"/>
        </w:rPr>
        <w:t>greater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 uncertainty for males. Whereas the</w:t>
      </w:r>
      <w:r w:rsidR="002B7559" w:rsidRPr="00072B06">
        <w:rPr>
          <w:rFonts w:ascii="Times New Roman" w:hAnsi="Times New Roman" w:cs="Times New Roman"/>
          <w:color w:val="000000" w:themeColor="text1"/>
        </w:rPr>
        <w:t xml:space="preserve"> retirement-age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 population can be predicted relatively well, the uncertainty in the future</w:t>
      </w:r>
      <w:r w:rsidR="002B7559" w:rsidRPr="00072B06">
        <w:rPr>
          <w:rFonts w:ascii="Times New Roman" w:hAnsi="Times New Roman" w:cs="Times New Roman"/>
          <w:color w:val="000000" w:themeColor="text1"/>
        </w:rPr>
        <w:t xml:space="preserve"> working-age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 population is especially </w:t>
      </w:r>
      <w:r w:rsidR="002B7559" w:rsidRPr="00072B06">
        <w:rPr>
          <w:rFonts w:ascii="Times New Roman" w:hAnsi="Times New Roman" w:cs="Times New Roman"/>
          <w:color w:val="000000" w:themeColor="text1"/>
        </w:rPr>
        <w:t xml:space="preserve">large 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for males due to the high </w:t>
      </w:r>
      <w:r w:rsidR="002B7559" w:rsidRPr="00072B06">
        <w:rPr>
          <w:rFonts w:ascii="Times New Roman" w:hAnsi="Times New Roman" w:cs="Times New Roman"/>
          <w:color w:val="000000" w:themeColor="text1"/>
        </w:rPr>
        <w:t xml:space="preserve">uncertainty 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in the migration </w:t>
      </w:r>
      <w:r w:rsidR="00D5332E" w:rsidRPr="00072B06">
        <w:rPr>
          <w:rFonts w:ascii="Times New Roman" w:hAnsi="Times New Roman" w:cs="Times New Roman"/>
          <w:color w:val="000000" w:themeColor="text1"/>
        </w:rPr>
        <w:t xml:space="preserve">forecast for males (Vanella, </w:t>
      </w:r>
      <w:r w:rsidR="006005EA" w:rsidRPr="00072B06">
        <w:rPr>
          <w:rFonts w:ascii="Times New Roman" w:hAnsi="Times New Roman" w:cs="Times New Roman"/>
          <w:color w:val="000000" w:themeColor="text1"/>
        </w:rPr>
        <w:t>Deschermeier 2017</w:t>
      </w:r>
      <w:r w:rsidR="006A7431" w:rsidRPr="00072B06">
        <w:rPr>
          <w:rFonts w:ascii="Times New Roman" w:hAnsi="Times New Roman" w:cs="Times New Roman"/>
          <w:color w:val="000000" w:themeColor="text1"/>
        </w:rPr>
        <w:t>: 17-22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). The uncertainty in the population </w:t>
      </w:r>
      <w:r w:rsidR="002B7559" w:rsidRPr="00072B06">
        <w:rPr>
          <w:rFonts w:ascii="Times New Roman" w:hAnsi="Times New Roman" w:cs="Times New Roman"/>
          <w:color w:val="000000" w:themeColor="text1"/>
        </w:rPr>
        <w:t xml:space="preserve">of </w:t>
      </w:r>
      <w:r w:rsidR="006005EA" w:rsidRPr="00072B06">
        <w:rPr>
          <w:rFonts w:ascii="Times New Roman" w:hAnsi="Times New Roman" w:cs="Times New Roman"/>
          <w:color w:val="000000" w:themeColor="text1"/>
        </w:rPr>
        <w:t xml:space="preserve">persons under 25 years of age arises from </w:t>
      </w:r>
      <w:r w:rsidR="00D70658" w:rsidRPr="00072B06">
        <w:rPr>
          <w:rFonts w:ascii="Times New Roman" w:hAnsi="Times New Roman" w:cs="Times New Roman"/>
          <w:color w:val="000000" w:themeColor="text1"/>
        </w:rPr>
        <w:t>the fact that</w:t>
      </w:r>
      <w:r w:rsidR="00186F23" w:rsidRPr="00072B06">
        <w:rPr>
          <w:rFonts w:ascii="Times New Roman" w:hAnsi="Times New Roman" w:cs="Times New Roman"/>
          <w:color w:val="000000" w:themeColor="text1"/>
        </w:rPr>
        <w:t xml:space="preserve"> this </w:t>
      </w:r>
      <w:r w:rsidR="002B7559" w:rsidRPr="00072B06">
        <w:rPr>
          <w:rFonts w:ascii="Times New Roman" w:hAnsi="Times New Roman" w:cs="Times New Roman"/>
          <w:color w:val="000000" w:themeColor="text1"/>
        </w:rPr>
        <w:t xml:space="preserve">portion </w:t>
      </w:r>
      <w:r w:rsidR="001005FE" w:rsidRPr="00072B06">
        <w:rPr>
          <w:rFonts w:ascii="Times New Roman" w:hAnsi="Times New Roman" w:cs="Times New Roman"/>
          <w:color w:val="000000" w:themeColor="text1"/>
        </w:rPr>
        <w:t xml:space="preserve">of the population </w:t>
      </w:r>
      <w:r w:rsidR="00186F23" w:rsidRPr="00072B06">
        <w:rPr>
          <w:rFonts w:ascii="Times New Roman" w:hAnsi="Times New Roman" w:cs="Times New Roman"/>
          <w:color w:val="000000" w:themeColor="text1"/>
        </w:rPr>
        <w:t>has not been born</w:t>
      </w:r>
      <w:r w:rsidR="001005FE" w:rsidRPr="00072B06">
        <w:rPr>
          <w:rFonts w:ascii="Times New Roman" w:hAnsi="Times New Roman" w:cs="Times New Roman"/>
          <w:color w:val="000000" w:themeColor="text1"/>
        </w:rPr>
        <w:t xml:space="preserve"> yet</w:t>
      </w:r>
      <w:r w:rsidR="00D70658" w:rsidRPr="00072B06">
        <w:rPr>
          <w:rFonts w:ascii="Times New Roman" w:hAnsi="Times New Roman" w:cs="Times New Roman"/>
          <w:color w:val="000000" w:themeColor="text1"/>
        </w:rPr>
        <w:t xml:space="preserve">. </w:t>
      </w:r>
      <w:r w:rsidR="003B7CA9" w:rsidRPr="00072B06">
        <w:rPr>
          <w:rFonts w:ascii="Times New Roman" w:hAnsi="Times New Roman" w:cs="Times New Roman"/>
          <w:color w:val="000000" w:themeColor="text1"/>
        </w:rPr>
        <w:t>Specifically,</w:t>
      </w:r>
      <w:r w:rsidR="00D70658" w:rsidRPr="00072B06">
        <w:rPr>
          <w:rFonts w:ascii="Times New Roman" w:hAnsi="Times New Roman" w:cs="Times New Roman"/>
          <w:color w:val="000000" w:themeColor="text1"/>
        </w:rPr>
        <w:t xml:space="preserve"> the uncertainty of persons under 25 years of age arises from migration</w:t>
      </w:r>
      <w:r w:rsidR="003B7CA9" w:rsidRPr="00072B06">
        <w:rPr>
          <w:rFonts w:ascii="Times New Roman" w:hAnsi="Times New Roman" w:cs="Times New Roman"/>
          <w:color w:val="000000" w:themeColor="text1"/>
        </w:rPr>
        <w:t>,</w:t>
      </w:r>
      <w:r w:rsidR="00D70658" w:rsidRPr="00072B06">
        <w:rPr>
          <w:rFonts w:ascii="Times New Roman" w:hAnsi="Times New Roman" w:cs="Times New Roman"/>
          <w:color w:val="000000" w:themeColor="text1"/>
        </w:rPr>
        <w:t xml:space="preserve"> from the mortality of persons “below 1 year” and from uncertainty due to fertility</w:t>
      </w:r>
      <w:r w:rsidR="00186F23" w:rsidRPr="00072B06">
        <w:rPr>
          <w:rFonts w:ascii="Times New Roman" w:hAnsi="Times New Roman" w:cs="Times New Roman"/>
          <w:color w:val="000000" w:themeColor="text1"/>
        </w:rPr>
        <w:t>.</w:t>
      </w:r>
    </w:p>
    <w:p w14:paraId="7D6D7BA7" w14:textId="6621772C" w:rsidR="003978EC" w:rsidRPr="00072B06" w:rsidRDefault="00320ACE" w:rsidP="0026593A">
      <w:pPr>
        <w:spacing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aging of the population is of high </w:t>
      </w:r>
      <w:r w:rsidR="00CA169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social and economic 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importance, as was stated earlier. Therefore,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 addition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the overall age structure, the median age of the male and female population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considered as a summary indicator for the future age schedule of the population. The median age of the population can be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obtained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from the 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simulation results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because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it is the exact age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cuts the population in half. This computation for all 10,000 trajectories can be used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to extract</w:t>
      </w:r>
      <w:r w:rsidR="00DE2B70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PIs for the median age. </w:t>
      </w:r>
    </w:p>
    <w:p w14:paraId="7E9785AD" w14:textId="3D3EEFD8" w:rsidR="00F02A44" w:rsidRPr="007E3089" w:rsidRDefault="003978EC" w:rsidP="00072B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observe a rejuvenation effect </w:t>
      </w:r>
      <w:r w:rsidR="008B4C0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the </w:t>
      </w:r>
      <w:r w:rsidR="00CA169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upcoming years</w:t>
      </w:r>
      <w:r w:rsidR="008B4C0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due to </w:t>
      </w:r>
      <w:r w:rsidR="008E004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high net migration during this period</w:t>
      </w:r>
      <w:r w:rsidR="008B4C0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A169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The high net migration rates around the year 2015 combined with the high forecast values for the upcoming years lea</w:t>
      </w:r>
      <w:r w:rsidR="002521A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r w:rsidR="00CA169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mark in the age structure of Germany. This can be seen in the age structure for the male and female population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CA169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CA169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year 2040. 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that time,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</w:t>
      </w:r>
      <w:r w:rsidR="002521A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majority of the 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population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21A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immigrated during the high influx phase 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 be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approximately 5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0 years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old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while the </w:t>
      </w:r>
      <w:r w:rsidR="002521A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baby boomer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generation will be in their seventh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decade of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life. Over the forecast horizon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median age traces this development by a rejuvenation effect for men and women. The </w:t>
      </w:r>
      <w:r w:rsidR="002521A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probable 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decreas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e in the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number of births after the mid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dle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the 2020s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decreasing net migration and mortality (Vanella 2017a: 550) lead to an aging of the population structure</w:t>
      </w:r>
      <w:r w:rsidR="002521A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as represented by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increasing median ages after that point. Since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a larger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portion o</w:t>
      </w:r>
      <w:r w:rsidR="00D5332E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 migrants is male (Vanella, 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Deschermeier 2017: 20-22), the rejuvenation is stronger for males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than for</w:t>
      </w:r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D42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females.</w:t>
      </w:r>
      <w:r w:rsidR="00BE24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proofErr w:type="spellEnd"/>
      <w:r w:rsidR="00BE241B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driving factor behind the presented results on the population development is net migration. </w:t>
      </w:r>
      <w:r w:rsidR="00F533B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Following the net migration </w:t>
      </w:r>
      <w:r w:rsidR="008E004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F533B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="008E004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533B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first years of the forecast result in high and above average values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F533B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net migration. In the long run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533B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net migration </w:t>
      </w:r>
      <w:r w:rsidR="008E004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is expected to decrease</w:t>
      </w:r>
      <w:r w:rsidR="00F533B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004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212,419 </w:t>
      </w:r>
      <w:r w:rsidR="00F533B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 2040.</w:t>
      </w:r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E004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Counterbalancing net migration, w</w:t>
      </w:r>
      <w:r w:rsidR="00C75E53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take a look at the probabilistic forecast of Germany’s natural growth until 2040, which is simply derived from the birth and death forecasts. </w:t>
      </w:r>
      <w:r w:rsidR="0044152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Following the trend of the recent past, the </w:t>
      </w:r>
      <w:r w:rsidR="00C75E53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number of births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will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continue</w:t>
      </w:r>
      <w:r w:rsidR="0044152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rising until the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mid-2020s</w:t>
      </w:r>
      <w:r w:rsidR="00441524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3B7CA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However, 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as the peek remains below 900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000 births per year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the median scenario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 this development can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no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 be labeled a second baby boom.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 comparison, t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he number of livebirths in the 1950s and 1960s exceed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1.1 million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annually</w:t>
      </w:r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(GENESIS-Online </w:t>
      </w:r>
      <w:proofErr w:type="spellStart"/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>Datenbank</w:t>
      </w:r>
      <w:proofErr w:type="spellEnd"/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2018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Due to the shift in the age structure, the number of potential mothers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is expected to shrink at some point,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resulting in decreasing birth number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the long run.</w:t>
      </w:r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aging of the population leads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steady increase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number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an</w:t>
      </w:r>
      <w:r w:rsidR="0022702C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rat</w:t>
      </w:r>
      <w:r w:rsidR="0022702C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of older people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who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have a higher probability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of dying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a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given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year. This results in a steady increase </w:t>
      </w:r>
      <w:r w:rsidR="00C75E53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the number 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</w:t>
      </w:r>
      <w:r w:rsidR="005E1488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AB056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eaths until 2040</w:t>
      </w:r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8D0DB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As the median of the simulation is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greater than</w:t>
      </w:r>
      <w:r w:rsidR="008D0DB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900 thousand persons in each year of the forecast, the natural population development until 2040 almost certainly will be negative during the forecast horizon. Therefore, a lack of high net migration would naturally lead to a decrease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8D0DB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population in Germany. The connection between natural population growth and net migration is therefore obvious since an old population with low fertility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requires</w:t>
      </w:r>
      <w:r w:rsidR="008D0DB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positive net migration to avoid shrinking and </w:t>
      </w:r>
      <w:proofErr w:type="spellStart"/>
      <w:r w:rsidR="008D0DB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overaging</w:t>
      </w:r>
      <w:proofErr w:type="spellEnd"/>
      <w:r w:rsidR="008D0DB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2E67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the median trajectory, the natural decrease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A52E67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population will grow annually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 stressing</w:t>
      </w:r>
      <w:r w:rsidR="00A52E67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importance of positive net migration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52E67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especially in the younger ages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A52E67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fill the shortages occurring 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="00A52E67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n the labor market.</w:t>
      </w:r>
      <w:r w:rsidR="00C75E53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3089">
        <w:rPr>
          <w:rFonts w:ascii="Times New Roman" w:hAnsi="Times New Roman" w:cs="Times New Roman"/>
          <w:color w:val="000000" w:themeColor="text1"/>
          <w:sz w:val="20"/>
          <w:szCs w:val="20"/>
        </w:rPr>
        <w:t>As we will show</w:t>
      </w:r>
      <w:r w:rsidR="00A52E67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 some </w:t>
      </w:r>
      <w:r w:rsidR="00E61DC1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important measures, our</w:t>
      </w:r>
      <w:r w:rsidR="00320ACE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model </w:t>
      </w:r>
      <w:r w:rsidR="002B755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provide</w:t>
      </w:r>
      <w:r w:rsidR="00B1627F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2B755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20ACE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wide range of detailed analyses targeting specific topics of interest. </w:t>
      </w:r>
      <w:r w:rsidR="00E61DC1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The forecast results offer the possibility for a wide range of</w:t>
      </w:r>
      <w:r w:rsidR="00320ACE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B755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future </w:t>
      </w:r>
      <w:r w:rsidR="00320ACE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studies, </w:t>
      </w:r>
      <w:r w:rsidR="00B07425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e.g., </w:t>
      </w:r>
      <w:r w:rsidR="00320ACE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analyzing the effects of population </w:t>
      </w:r>
      <w:r w:rsidR="002B7559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changes </w:t>
      </w:r>
      <w:r w:rsidR="00320ACE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>on social security, the labor market or housing demand.</w:t>
      </w:r>
      <w:r w:rsidR="00442C2D" w:rsidRPr="00072B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EB2B6E" w14:textId="77777777" w:rsidR="00412FD6" w:rsidRPr="00072B06" w:rsidRDefault="00412FD6" w:rsidP="00072B06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360F8E8" w14:textId="77777777" w:rsidR="003F0E74" w:rsidRPr="007E3089" w:rsidRDefault="001C76BE" w:rsidP="00072B0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de-DE"/>
        </w:rPr>
      </w:pPr>
      <w:r w:rsidRPr="007E3089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de-DE"/>
        </w:rPr>
        <w:t>References</w:t>
      </w:r>
    </w:p>
    <w:p w14:paraId="2ADD6659" w14:textId="616E89E2" w:rsidR="008B4C0B" w:rsidRPr="007E3089" w:rsidRDefault="008E08EC" w:rsidP="00072B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de-DE"/>
        </w:rPr>
      </w:pPr>
      <w:r w:rsidRPr="007E3089">
        <w:rPr>
          <w:rFonts w:ascii="Times New Roman" w:hAnsi="Times New Roman" w:cs="Times New Roman"/>
          <w:i/>
          <w:color w:val="000000" w:themeColor="text1"/>
          <w:sz w:val="16"/>
          <w:szCs w:val="16"/>
          <w:lang w:val="de-DE"/>
        </w:rPr>
        <w:t xml:space="preserve">GENESIS-Online Datenbank </w:t>
      </w:r>
      <w:r w:rsidRPr="007E3089">
        <w:rPr>
          <w:rFonts w:ascii="Times New Roman" w:hAnsi="Times New Roman" w:cs="Times New Roman"/>
          <w:color w:val="000000" w:themeColor="text1"/>
          <w:sz w:val="16"/>
          <w:szCs w:val="16"/>
          <w:lang w:val="de-DE"/>
        </w:rPr>
        <w:t>2018: Lebendgeborene: Deutschland, Jahre, Geschlecht. In: www-genesis.destatis.de. URL: https://www-genesis.destatis.de/genesis/online/data;jsessionid=C4FF958DD4F6A3F4DB5C783F4B2D2890.tomcat_GO_2_1?operation=abruftabelleAbrufen&amp;selectionname=12612-0001&amp;levelindex=1&amp;levelid=1515759981915&amp;index=1, 10.01.2018</w:t>
      </w:r>
      <w:r w:rsidR="008D0DB9" w:rsidRPr="007E3089">
        <w:rPr>
          <w:rFonts w:ascii="Times New Roman" w:hAnsi="Times New Roman" w:cs="Times New Roman"/>
          <w:color w:val="000000" w:themeColor="text1"/>
          <w:sz w:val="16"/>
          <w:szCs w:val="16"/>
          <w:lang w:val="de-DE"/>
        </w:rPr>
        <w:t>.</w:t>
      </w:r>
    </w:p>
    <w:p w14:paraId="7EEC3393" w14:textId="72B0199F" w:rsidR="003F0E74" w:rsidRPr="007E3089" w:rsidRDefault="00BA5F89" w:rsidP="00072B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308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Vanella, Patrizio</w:t>
      </w:r>
      <w:r w:rsidR="001C76BE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2017</w:t>
      </w:r>
      <w:r w:rsidR="009F11C5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a</w:t>
      </w:r>
      <w:r w:rsidR="001C76BE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A Principal Component Model for Forecasting Age- and Sex-Specific Survival Probabilities in Western Europe. In: </w:t>
      </w:r>
      <w:r w:rsidR="004530C7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German Journal of Risk and Insurance</w:t>
      </w:r>
      <w:r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1E418B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106</w:t>
      </w:r>
      <w:proofErr w:type="gramStart"/>
      <w:r w:rsidR="001E418B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,5</w:t>
      </w:r>
      <w:proofErr w:type="gramEnd"/>
      <w:r w:rsidR="001E418B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: 539–554</w:t>
      </w:r>
      <w:r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F14B8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[10.1007/s12297-017-0393-y]</w:t>
      </w:r>
      <w:r w:rsidR="001C76BE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28DAA31D" w14:textId="49BD5978" w:rsidR="00104FCA" w:rsidRPr="007E3089" w:rsidRDefault="000F082D" w:rsidP="00072B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308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Vanella, Patrizio</w:t>
      </w:r>
      <w:r w:rsidR="009F11C5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2017b</w:t>
      </w:r>
      <w:r w:rsidR="00104FCA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: Age- and Sex-Specific Fertility in Germany until the Year 2040 – The Impact of International Migration. </w:t>
      </w:r>
      <w:r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Hannover Economic Papers 606. Hannover: Gottf</w:t>
      </w:r>
      <w:r w:rsidR="004E398F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ried Wilhelm Leibniz </w:t>
      </w:r>
      <w:proofErr w:type="spellStart"/>
      <w:r w:rsidR="004E398F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Universität</w:t>
      </w:r>
      <w:proofErr w:type="spellEnd"/>
      <w:r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Hannover, </w:t>
      </w:r>
      <w:r w:rsidR="005208EE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School </w:t>
      </w:r>
      <w:r w:rsidR="004E398F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of Economics and Management.</w:t>
      </w:r>
    </w:p>
    <w:p w14:paraId="7CA642FB" w14:textId="35C38FD8" w:rsidR="005208EE" w:rsidRPr="007E3089" w:rsidRDefault="005208EE" w:rsidP="00072B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3089">
        <w:rPr>
          <w:rFonts w:ascii="Times New Roman" w:hAnsi="Times New Roman" w:cs="Times New Roman"/>
          <w:i/>
          <w:color w:val="000000" w:themeColor="text1"/>
          <w:sz w:val="16"/>
          <w:szCs w:val="16"/>
          <w:lang w:val="de-DE"/>
        </w:rPr>
        <w:t>Vanella, Patrizio</w:t>
      </w:r>
      <w:r w:rsidRPr="007E3089">
        <w:rPr>
          <w:rFonts w:ascii="Times New Roman" w:hAnsi="Times New Roman" w:cs="Times New Roman"/>
          <w:color w:val="000000" w:themeColor="text1"/>
          <w:sz w:val="16"/>
          <w:szCs w:val="16"/>
          <w:lang w:val="de-DE"/>
        </w:rPr>
        <w:t xml:space="preserve"> 2017c: Stochastische Prognose demografischer Komponenten auf Basis der Hauptkomponentenanalyse. </w:t>
      </w:r>
      <w:r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Hannover Economic Papers 597. Hannover: Gottfried Wilhelm Leibniz </w:t>
      </w:r>
      <w:proofErr w:type="spellStart"/>
      <w:r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Universität</w:t>
      </w:r>
      <w:proofErr w:type="spellEnd"/>
      <w:r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Hannover, School of Economics and Management.</w:t>
      </w:r>
    </w:p>
    <w:p w14:paraId="19AEC230" w14:textId="31B96222" w:rsidR="004E398F" w:rsidRPr="007E3089" w:rsidRDefault="001C76BE" w:rsidP="00072B0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3089">
        <w:rPr>
          <w:rFonts w:ascii="Times New Roman" w:hAnsi="Times New Roman" w:cs="Times New Roman"/>
          <w:i/>
          <w:color w:val="000000" w:themeColor="text1"/>
          <w:sz w:val="16"/>
          <w:szCs w:val="16"/>
          <w:lang w:val="de-DE"/>
        </w:rPr>
        <w:t>Vanella, Patrizio; Deschermeier, Philipp</w:t>
      </w:r>
      <w:r w:rsidRPr="007E3089">
        <w:rPr>
          <w:rFonts w:ascii="Times New Roman" w:hAnsi="Times New Roman" w:cs="Times New Roman"/>
          <w:color w:val="000000" w:themeColor="text1"/>
          <w:sz w:val="16"/>
          <w:szCs w:val="16"/>
          <w:lang w:val="de-DE"/>
        </w:rPr>
        <w:t xml:space="preserve"> 2017: Ein stochastisches Prognosemodell internationaler Migration in Deutschland. </w:t>
      </w:r>
      <w:r w:rsidR="004E398F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Hannover Economic Papers 605. Hannover: Gottfried Wilhelm Leibniz </w:t>
      </w:r>
      <w:proofErr w:type="spellStart"/>
      <w:r w:rsidR="004E398F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>Universität</w:t>
      </w:r>
      <w:proofErr w:type="spellEnd"/>
      <w:r w:rsidR="004E398F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Hannover,</w:t>
      </w:r>
      <w:r w:rsidR="005208EE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School</w:t>
      </w:r>
      <w:r w:rsidR="004E398F" w:rsidRPr="007E308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of Economics and Management.</w:t>
      </w:r>
    </w:p>
    <w:sectPr w:rsidR="004E398F" w:rsidRPr="007E3089"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76FAD" w14:textId="77777777" w:rsidR="007364FD" w:rsidRDefault="007364FD">
      <w:pPr>
        <w:spacing w:after="0" w:line="240" w:lineRule="auto"/>
      </w:pPr>
      <w:r>
        <w:separator/>
      </w:r>
    </w:p>
  </w:endnote>
  <w:endnote w:type="continuationSeparator" w:id="0">
    <w:p w14:paraId="7A639882" w14:textId="77777777" w:rsidR="007364FD" w:rsidRDefault="007364FD">
      <w:pPr>
        <w:spacing w:after="0" w:line="240" w:lineRule="auto"/>
      </w:pPr>
      <w:r>
        <w:continuationSeparator/>
      </w:r>
    </w:p>
  </w:endnote>
  <w:endnote w:type="continuationNotice" w:id="1">
    <w:p w14:paraId="5131624A" w14:textId="77777777" w:rsidR="007364FD" w:rsidRDefault="00736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611E5" w14:textId="77777777" w:rsidR="007364FD" w:rsidRDefault="007364FD">
      <w:r>
        <w:separator/>
      </w:r>
    </w:p>
  </w:footnote>
  <w:footnote w:type="continuationSeparator" w:id="0">
    <w:p w14:paraId="38FB5179" w14:textId="77777777" w:rsidR="007364FD" w:rsidRDefault="007364FD">
      <w:r>
        <w:continuationSeparator/>
      </w:r>
    </w:p>
  </w:footnote>
  <w:footnote w:type="continuationNotice" w:id="1">
    <w:p w14:paraId="455E10D3" w14:textId="77777777" w:rsidR="007364FD" w:rsidRDefault="007364FD"/>
  </w:footnote>
  <w:footnote w:id="2">
    <w:p w14:paraId="71C551EE" w14:textId="4A5EF045" w:rsidR="00EF1F23" w:rsidRPr="00EF1F23" w:rsidRDefault="00EF1F23">
      <w:pPr>
        <w:pStyle w:val="Funotentext"/>
        <w:rPr>
          <w:rFonts w:ascii="Times New Roman" w:hAnsi="Times New Roman" w:cs="Times New Roman"/>
          <w:sz w:val="16"/>
          <w:szCs w:val="16"/>
          <w:lang w:val="en-US"/>
        </w:rPr>
      </w:pPr>
      <w:r w:rsidRPr="00EF1F23">
        <w:rPr>
          <w:rStyle w:val="Funotenzeichen"/>
          <w:rFonts w:ascii="Times New Roman" w:hAnsi="Times New Roman" w:cs="Times New Roman"/>
          <w:sz w:val="16"/>
          <w:szCs w:val="16"/>
        </w:rPr>
        <w:footnoteRef/>
      </w:r>
      <w:r w:rsidRPr="00EF1F23">
        <w:rPr>
          <w:rFonts w:ascii="Times New Roman" w:hAnsi="Times New Roman" w:cs="Times New Roman"/>
          <w:sz w:val="16"/>
          <w:szCs w:val="16"/>
          <w:lang w:val="en-US"/>
        </w:rPr>
        <w:t xml:space="preserve"> Patrizio </w:t>
      </w:r>
      <w:proofErr w:type="spellStart"/>
      <w:r w:rsidRPr="00EF1F23">
        <w:rPr>
          <w:rFonts w:ascii="Times New Roman" w:hAnsi="Times New Roman" w:cs="Times New Roman"/>
          <w:sz w:val="16"/>
          <w:szCs w:val="16"/>
          <w:lang w:val="en-US"/>
        </w:rPr>
        <w:t>Vanella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, Gottfried Wilhelm Leibniz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Universität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Hannover – Center for Risk and Insurance; email: pv@ivbl.de</w:t>
      </w:r>
    </w:p>
  </w:footnote>
  <w:footnote w:id="3">
    <w:p w14:paraId="4C374DF3" w14:textId="6798DF5F" w:rsidR="00EF1F23" w:rsidRPr="00A95BED" w:rsidRDefault="00EF1F23">
      <w:pPr>
        <w:pStyle w:val="Funotentext"/>
        <w:rPr>
          <w:rFonts w:ascii="Times New Roman" w:hAnsi="Times New Roman" w:cs="Times New Roman"/>
          <w:sz w:val="16"/>
          <w:szCs w:val="16"/>
        </w:rPr>
      </w:pPr>
      <w:r w:rsidRPr="00A95BED">
        <w:rPr>
          <w:rStyle w:val="Funotenzeichen"/>
          <w:rFonts w:ascii="Times New Roman" w:hAnsi="Times New Roman" w:cs="Times New Roman"/>
          <w:sz w:val="16"/>
          <w:szCs w:val="16"/>
        </w:rPr>
        <w:footnoteRef/>
      </w:r>
      <w:r w:rsidR="00A95BED">
        <w:rPr>
          <w:rFonts w:ascii="Times New Roman" w:hAnsi="Times New Roman" w:cs="Times New Roman"/>
          <w:sz w:val="16"/>
          <w:szCs w:val="16"/>
        </w:rPr>
        <w:t xml:space="preserve"> Philipp </w:t>
      </w:r>
      <w:proofErr w:type="spellStart"/>
      <w:r w:rsidR="00A95BED">
        <w:rPr>
          <w:rFonts w:ascii="Times New Roman" w:hAnsi="Times New Roman" w:cs="Times New Roman"/>
          <w:sz w:val="16"/>
          <w:szCs w:val="16"/>
        </w:rPr>
        <w:t>Deschermeier</w:t>
      </w:r>
      <w:proofErr w:type="spellEnd"/>
      <w:r w:rsidR="00A95BED">
        <w:rPr>
          <w:rFonts w:ascii="Times New Roman" w:hAnsi="Times New Roman" w:cs="Times New Roman"/>
          <w:sz w:val="16"/>
          <w:szCs w:val="16"/>
        </w:rPr>
        <w:t>,</w:t>
      </w:r>
      <w:r w:rsidR="00A95BED" w:rsidRPr="00A95BED">
        <w:rPr>
          <w:rFonts w:ascii="Times New Roman" w:hAnsi="Times New Roman" w:cs="Times New Roman"/>
          <w:sz w:val="16"/>
          <w:szCs w:val="16"/>
        </w:rPr>
        <w:t xml:space="preserve"> Instit</w:t>
      </w:r>
      <w:r w:rsidR="00A95BED">
        <w:rPr>
          <w:rFonts w:ascii="Times New Roman" w:hAnsi="Times New Roman" w:cs="Times New Roman"/>
          <w:sz w:val="16"/>
          <w:szCs w:val="16"/>
        </w:rPr>
        <w:t xml:space="preserve">ut Wohnen und Umwelt Darmstadt; </w:t>
      </w:r>
      <w:proofErr w:type="spellStart"/>
      <w:r w:rsidR="00A95BED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="00A95BED">
        <w:rPr>
          <w:rFonts w:ascii="Times New Roman" w:hAnsi="Times New Roman" w:cs="Times New Roman"/>
          <w:sz w:val="16"/>
          <w:szCs w:val="16"/>
        </w:rPr>
        <w:t>: p.deschermeier@iwu.de</w:t>
      </w:r>
    </w:p>
  </w:footnote>
  <w:footnote w:id="4">
    <w:p w14:paraId="724E00A8" w14:textId="585635F0" w:rsidR="00B1627F" w:rsidRPr="00072B06" w:rsidRDefault="00B1627F">
      <w:pPr>
        <w:pStyle w:val="Funotentext"/>
        <w:rPr>
          <w:rFonts w:ascii="Times New Roman" w:hAnsi="Times New Roman" w:cs="Times New Roman"/>
          <w:lang w:val="en-US"/>
        </w:rPr>
      </w:pPr>
      <w:r w:rsidRPr="00072B06">
        <w:rPr>
          <w:rStyle w:val="Funotenzeichen"/>
          <w:rFonts w:ascii="Times New Roman" w:hAnsi="Times New Roman" w:cs="Times New Roman"/>
        </w:rPr>
        <w:footnoteRef/>
      </w:r>
      <w:r w:rsidRPr="00072B06">
        <w:rPr>
          <w:rFonts w:ascii="Times New Roman" w:hAnsi="Times New Roman" w:cs="Times New Roman"/>
          <w:lang w:val="en-US"/>
        </w:rPr>
        <w:t xml:space="preserve"> See </w:t>
      </w:r>
      <w:proofErr w:type="spellStart"/>
      <w:r w:rsidRPr="00072B06">
        <w:rPr>
          <w:rFonts w:ascii="Times New Roman" w:hAnsi="Times New Roman" w:cs="Times New Roman"/>
          <w:lang w:val="en-US"/>
        </w:rPr>
        <w:t>Vanella</w:t>
      </w:r>
      <w:proofErr w:type="spellEnd"/>
      <w:r w:rsidRPr="00072B06">
        <w:rPr>
          <w:rFonts w:ascii="Times New Roman" w:hAnsi="Times New Roman" w:cs="Times New Roman"/>
          <w:lang w:val="en-US"/>
        </w:rPr>
        <w:t xml:space="preserve"> 2017c: 13 for an explanation of Wiener processes.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A1610"/>
    <w:multiLevelType w:val="hybridMultilevel"/>
    <w:tmpl w:val="60BA3FDA"/>
    <w:numStyleLink w:val="ImportedStyle1"/>
  </w:abstractNum>
  <w:abstractNum w:abstractNumId="1" w15:restartNumberingAfterBreak="0">
    <w:nsid w:val="761D0D59"/>
    <w:multiLevelType w:val="hybridMultilevel"/>
    <w:tmpl w:val="60BA3FDA"/>
    <w:styleLink w:val="ImportedStyle1"/>
    <w:lvl w:ilvl="0" w:tplc="0CD0F9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468A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1C97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8042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6AB0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D495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10D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543E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708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ordTimer" w:val="50"/>
  </w:docVars>
  <w:rsids>
    <w:rsidRoot w:val="003F0E74"/>
    <w:rsid w:val="00003169"/>
    <w:rsid w:val="0000640C"/>
    <w:rsid w:val="0000764E"/>
    <w:rsid w:val="000111C3"/>
    <w:rsid w:val="00013821"/>
    <w:rsid w:val="0001728D"/>
    <w:rsid w:val="000207CC"/>
    <w:rsid w:val="00020E18"/>
    <w:rsid w:val="000272D1"/>
    <w:rsid w:val="000275AB"/>
    <w:rsid w:val="000276BE"/>
    <w:rsid w:val="0003063B"/>
    <w:rsid w:val="000335D2"/>
    <w:rsid w:val="000355D9"/>
    <w:rsid w:val="00036CC4"/>
    <w:rsid w:val="0004772D"/>
    <w:rsid w:val="00047B21"/>
    <w:rsid w:val="000501BD"/>
    <w:rsid w:val="00050D12"/>
    <w:rsid w:val="00053305"/>
    <w:rsid w:val="0005364E"/>
    <w:rsid w:val="00061E23"/>
    <w:rsid w:val="00063E71"/>
    <w:rsid w:val="0006783E"/>
    <w:rsid w:val="00072B06"/>
    <w:rsid w:val="000739CF"/>
    <w:rsid w:val="00080068"/>
    <w:rsid w:val="000800A6"/>
    <w:rsid w:val="00080A34"/>
    <w:rsid w:val="00081795"/>
    <w:rsid w:val="000846CE"/>
    <w:rsid w:val="0008631A"/>
    <w:rsid w:val="00086D61"/>
    <w:rsid w:val="00090673"/>
    <w:rsid w:val="00090A95"/>
    <w:rsid w:val="0009114C"/>
    <w:rsid w:val="000922DF"/>
    <w:rsid w:val="00092F2D"/>
    <w:rsid w:val="00094E7D"/>
    <w:rsid w:val="00095426"/>
    <w:rsid w:val="00096D57"/>
    <w:rsid w:val="000A162E"/>
    <w:rsid w:val="000A2064"/>
    <w:rsid w:val="000A376C"/>
    <w:rsid w:val="000A3CBC"/>
    <w:rsid w:val="000A55EF"/>
    <w:rsid w:val="000A62FB"/>
    <w:rsid w:val="000B1490"/>
    <w:rsid w:val="000B1C6D"/>
    <w:rsid w:val="000B4B79"/>
    <w:rsid w:val="000B5314"/>
    <w:rsid w:val="000C054B"/>
    <w:rsid w:val="000C11B0"/>
    <w:rsid w:val="000C12B1"/>
    <w:rsid w:val="000C6C0B"/>
    <w:rsid w:val="000D0C8B"/>
    <w:rsid w:val="000D25C2"/>
    <w:rsid w:val="000D2656"/>
    <w:rsid w:val="000D40DB"/>
    <w:rsid w:val="000D41A7"/>
    <w:rsid w:val="000E1856"/>
    <w:rsid w:val="000E2967"/>
    <w:rsid w:val="000E3348"/>
    <w:rsid w:val="000E74AA"/>
    <w:rsid w:val="000F082D"/>
    <w:rsid w:val="000F2B72"/>
    <w:rsid w:val="000F426A"/>
    <w:rsid w:val="000F469E"/>
    <w:rsid w:val="000F4F47"/>
    <w:rsid w:val="000F5623"/>
    <w:rsid w:val="000F691D"/>
    <w:rsid w:val="001005FE"/>
    <w:rsid w:val="00103E00"/>
    <w:rsid w:val="00104FCA"/>
    <w:rsid w:val="00106492"/>
    <w:rsid w:val="00106930"/>
    <w:rsid w:val="00111FD3"/>
    <w:rsid w:val="00112008"/>
    <w:rsid w:val="00112585"/>
    <w:rsid w:val="001160D2"/>
    <w:rsid w:val="00116A7F"/>
    <w:rsid w:val="001278E5"/>
    <w:rsid w:val="001309D5"/>
    <w:rsid w:val="00130DBD"/>
    <w:rsid w:val="001318DA"/>
    <w:rsid w:val="0013493D"/>
    <w:rsid w:val="00134D3B"/>
    <w:rsid w:val="001414B7"/>
    <w:rsid w:val="00144E6E"/>
    <w:rsid w:val="00145E26"/>
    <w:rsid w:val="00157755"/>
    <w:rsid w:val="001602C0"/>
    <w:rsid w:val="001609A2"/>
    <w:rsid w:val="00163181"/>
    <w:rsid w:val="00164D7D"/>
    <w:rsid w:val="001671C7"/>
    <w:rsid w:val="001735F7"/>
    <w:rsid w:val="00175A35"/>
    <w:rsid w:val="00180069"/>
    <w:rsid w:val="00181479"/>
    <w:rsid w:val="001853BA"/>
    <w:rsid w:val="001856C7"/>
    <w:rsid w:val="00186F23"/>
    <w:rsid w:val="00186FF1"/>
    <w:rsid w:val="001915C4"/>
    <w:rsid w:val="001936BE"/>
    <w:rsid w:val="00194306"/>
    <w:rsid w:val="001A21C5"/>
    <w:rsid w:val="001A36C4"/>
    <w:rsid w:val="001A6249"/>
    <w:rsid w:val="001A65AA"/>
    <w:rsid w:val="001A748F"/>
    <w:rsid w:val="001C1D78"/>
    <w:rsid w:val="001C5BCA"/>
    <w:rsid w:val="001C5C5A"/>
    <w:rsid w:val="001C76BE"/>
    <w:rsid w:val="001D029E"/>
    <w:rsid w:val="001E418B"/>
    <w:rsid w:val="001E5D07"/>
    <w:rsid w:val="001F0ED7"/>
    <w:rsid w:val="001F19ED"/>
    <w:rsid w:val="001F1E95"/>
    <w:rsid w:val="001F2CD6"/>
    <w:rsid w:val="001F3030"/>
    <w:rsid w:val="001F30EA"/>
    <w:rsid w:val="001F4280"/>
    <w:rsid w:val="001F492A"/>
    <w:rsid w:val="001F4D28"/>
    <w:rsid w:val="001F4DD8"/>
    <w:rsid w:val="00201AE3"/>
    <w:rsid w:val="00217749"/>
    <w:rsid w:val="002217EC"/>
    <w:rsid w:val="002233B2"/>
    <w:rsid w:val="00224074"/>
    <w:rsid w:val="0022702C"/>
    <w:rsid w:val="00234B2C"/>
    <w:rsid w:val="00235AEF"/>
    <w:rsid w:val="002366DB"/>
    <w:rsid w:val="002367D9"/>
    <w:rsid w:val="002521AD"/>
    <w:rsid w:val="002617B7"/>
    <w:rsid w:val="0026451F"/>
    <w:rsid w:val="002654B2"/>
    <w:rsid w:val="0026593A"/>
    <w:rsid w:val="002708FA"/>
    <w:rsid w:val="00272505"/>
    <w:rsid w:val="00273C01"/>
    <w:rsid w:val="00275538"/>
    <w:rsid w:val="00277E8D"/>
    <w:rsid w:val="0028199E"/>
    <w:rsid w:val="00282A7A"/>
    <w:rsid w:val="002876FB"/>
    <w:rsid w:val="00290879"/>
    <w:rsid w:val="00291D08"/>
    <w:rsid w:val="00292306"/>
    <w:rsid w:val="002A0C83"/>
    <w:rsid w:val="002B1F4C"/>
    <w:rsid w:val="002B2F46"/>
    <w:rsid w:val="002B5424"/>
    <w:rsid w:val="002B5865"/>
    <w:rsid w:val="002B7559"/>
    <w:rsid w:val="002B7856"/>
    <w:rsid w:val="002C099E"/>
    <w:rsid w:val="002C44E7"/>
    <w:rsid w:val="002C49DA"/>
    <w:rsid w:val="002C53AD"/>
    <w:rsid w:val="002D09E7"/>
    <w:rsid w:val="002D1F34"/>
    <w:rsid w:val="002D2034"/>
    <w:rsid w:val="002D2ABE"/>
    <w:rsid w:val="002D53BD"/>
    <w:rsid w:val="002D77F4"/>
    <w:rsid w:val="002D7E56"/>
    <w:rsid w:val="002E02D7"/>
    <w:rsid w:val="002E39E5"/>
    <w:rsid w:val="002E6B17"/>
    <w:rsid w:val="002F2DB2"/>
    <w:rsid w:val="002F48B8"/>
    <w:rsid w:val="002F49BF"/>
    <w:rsid w:val="002F4DB0"/>
    <w:rsid w:val="00300317"/>
    <w:rsid w:val="00303F3C"/>
    <w:rsid w:val="00310D4B"/>
    <w:rsid w:val="00310E15"/>
    <w:rsid w:val="003142C1"/>
    <w:rsid w:val="00317BB4"/>
    <w:rsid w:val="00320ACE"/>
    <w:rsid w:val="00322B70"/>
    <w:rsid w:val="003232E3"/>
    <w:rsid w:val="00323794"/>
    <w:rsid w:val="00323A72"/>
    <w:rsid w:val="003258BE"/>
    <w:rsid w:val="00327EEC"/>
    <w:rsid w:val="0033639D"/>
    <w:rsid w:val="0033648F"/>
    <w:rsid w:val="0034277F"/>
    <w:rsid w:val="003428C9"/>
    <w:rsid w:val="00353CAA"/>
    <w:rsid w:val="00354BAF"/>
    <w:rsid w:val="00357A4B"/>
    <w:rsid w:val="003600A3"/>
    <w:rsid w:val="003601D2"/>
    <w:rsid w:val="00364666"/>
    <w:rsid w:val="0036670C"/>
    <w:rsid w:val="00367B40"/>
    <w:rsid w:val="00367D39"/>
    <w:rsid w:val="00370F04"/>
    <w:rsid w:val="0037304B"/>
    <w:rsid w:val="00373378"/>
    <w:rsid w:val="00374C77"/>
    <w:rsid w:val="00375FAF"/>
    <w:rsid w:val="00377D3C"/>
    <w:rsid w:val="00383D6B"/>
    <w:rsid w:val="00387915"/>
    <w:rsid w:val="0039233E"/>
    <w:rsid w:val="00392B59"/>
    <w:rsid w:val="00393888"/>
    <w:rsid w:val="00394C9A"/>
    <w:rsid w:val="0039722B"/>
    <w:rsid w:val="003978EC"/>
    <w:rsid w:val="003A3D8C"/>
    <w:rsid w:val="003A54B3"/>
    <w:rsid w:val="003B0262"/>
    <w:rsid w:val="003B0F11"/>
    <w:rsid w:val="003B46FE"/>
    <w:rsid w:val="003B505C"/>
    <w:rsid w:val="003B631D"/>
    <w:rsid w:val="003B7CA9"/>
    <w:rsid w:val="003B7F5E"/>
    <w:rsid w:val="003C1103"/>
    <w:rsid w:val="003C4A51"/>
    <w:rsid w:val="003C601B"/>
    <w:rsid w:val="003C72C2"/>
    <w:rsid w:val="003D43B8"/>
    <w:rsid w:val="003D5A94"/>
    <w:rsid w:val="003D66B5"/>
    <w:rsid w:val="003E44A0"/>
    <w:rsid w:val="003F0E74"/>
    <w:rsid w:val="003F44ED"/>
    <w:rsid w:val="003F4501"/>
    <w:rsid w:val="003F56E2"/>
    <w:rsid w:val="00400B3D"/>
    <w:rsid w:val="00401FF9"/>
    <w:rsid w:val="004043D2"/>
    <w:rsid w:val="00405D66"/>
    <w:rsid w:val="004124B1"/>
    <w:rsid w:val="00412E18"/>
    <w:rsid w:val="00412FD6"/>
    <w:rsid w:val="0041635A"/>
    <w:rsid w:val="0041706E"/>
    <w:rsid w:val="00427DF4"/>
    <w:rsid w:val="00430914"/>
    <w:rsid w:val="00431B8B"/>
    <w:rsid w:val="004349FF"/>
    <w:rsid w:val="00436CBF"/>
    <w:rsid w:val="00441524"/>
    <w:rsid w:val="00441882"/>
    <w:rsid w:val="004425D5"/>
    <w:rsid w:val="00442C2D"/>
    <w:rsid w:val="00445788"/>
    <w:rsid w:val="00445819"/>
    <w:rsid w:val="004530C7"/>
    <w:rsid w:val="00465261"/>
    <w:rsid w:val="0047042B"/>
    <w:rsid w:val="00474CB0"/>
    <w:rsid w:val="004815F7"/>
    <w:rsid w:val="00484FF5"/>
    <w:rsid w:val="00486B06"/>
    <w:rsid w:val="00497D35"/>
    <w:rsid w:val="004A371B"/>
    <w:rsid w:val="004B06FC"/>
    <w:rsid w:val="004B5AAB"/>
    <w:rsid w:val="004B78B5"/>
    <w:rsid w:val="004C43E0"/>
    <w:rsid w:val="004C7E9F"/>
    <w:rsid w:val="004D02B4"/>
    <w:rsid w:val="004D1369"/>
    <w:rsid w:val="004D4684"/>
    <w:rsid w:val="004E398F"/>
    <w:rsid w:val="004E4E9A"/>
    <w:rsid w:val="004E5BD8"/>
    <w:rsid w:val="004F4323"/>
    <w:rsid w:val="004F445A"/>
    <w:rsid w:val="00501026"/>
    <w:rsid w:val="005019E3"/>
    <w:rsid w:val="00501B05"/>
    <w:rsid w:val="005026CD"/>
    <w:rsid w:val="00506EA3"/>
    <w:rsid w:val="00510DDF"/>
    <w:rsid w:val="00511BD5"/>
    <w:rsid w:val="00512568"/>
    <w:rsid w:val="00514808"/>
    <w:rsid w:val="00514B9E"/>
    <w:rsid w:val="00515256"/>
    <w:rsid w:val="00515914"/>
    <w:rsid w:val="005208EE"/>
    <w:rsid w:val="00520C60"/>
    <w:rsid w:val="00523137"/>
    <w:rsid w:val="00526552"/>
    <w:rsid w:val="0053100C"/>
    <w:rsid w:val="00531A5A"/>
    <w:rsid w:val="00537A8F"/>
    <w:rsid w:val="00537D31"/>
    <w:rsid w:val="00541E9B"/>
    <w:rsid w:val="005434F3"/>
    <w:rsid w:val="005438E5"/>
    <w:rsid w:val="0054473A"/>
    <w:rsid w:val="00545B04"/>
    <w:rsid w:val="005469A1"/>
    <w:rsid w:val="00546EDF"/>
    <w:rsid w:val="005470C0"/>
    <w:rsid w:val="00547DF2"/>
    <w:rsid w:val="005502D6"/>
    <w:rsid w:val="00555E06"/>
    <w:rsid w:val="00560DE0"/>
    <w:rsid w:val="00570131"/>
    <w:rsid w:val="005731FF"/>
    <w:rsid w:val="0057442C"/>
    <w:rsid w:val="00584F30"/>
    <w:rsid w:val="00585680"/>
    <w:rsid w:val="00585C93"/>
    <w:rsid w:val="00586B9E"/>
    <w:rsid w:val="005958AE"/>
    <w:rsid w:val="005A027D"/>
    <w:rsid w:val="005A12A8"/>
    <w:rsid w:val="005A2682"/>
    <w:rsid w:val="005A3532"/>
    <w:rsid w:val="005A439B"/>
    <w:rsid w:val="005A71FB"/>
    <w:rsid w:val="005B093A"/>
    <w:rsid w:val="005B3AF3"/>
    <w:rsid w:val="005B4E02"/>
    <w:rsid w:val="005C05B1"/>
    <w:rsid w:val="005C2AAD"/>
    <w:rsid w:val="005C46D3"/>
    <w:rsid w:val="005C609C"/>
    <w:rsid w:val="005C7DCD"/>
    <w:rsid w:val="005D001C"/>
    <w:rsid w:val="005D2A4F"/>
    <w:rsid w:val="005D2DAB"/>
    <w:rsid w:val="005D2E16"/>
    <w:rsid w:val="005D43CE"/>
    <w:rsid w:val="005D47C6"/>
    <w:rsid w:val="005D5A63"/>
    <w:rsid w:val="005D704A"/>
    <w:rsid w:val="005E1488"/>
    <w:rsid w:val="005E3F60"/>
    <w:rsid w:val="005E4642"/>
    <w:rsid w:val="005E51C1"/>
    <w:rsid w:val="005F4A68"/>
    <w:rsid w:val="005F7461"/>
    <w:rsid w:val="006005EA"/>
    <w:rsid w:val="0060284E"/>
    <w:rsid w:val="0060422D"/>
    <w:rsid w:val="00605B51"/>
    <w:rsid w:val="006137F1"/>
    <w:rsid w:val="0061476E"/>
    <w:rsid w:val="00621366"/>
    <w:rsid w:val="00630C81"/>
    <w:rsid w:val="0063155E"/>
    <w:rsid w:val="00632961"/>
    <w:rsid w:val="00635141"/>
    <w:rsid w:val="00636773"/>
    <w:rsid w:val="00636F74"/>
    <w:rsid w:val="00636FF5"/>
    <w:rsid w:val="006371FC"/>
    <w:rsid w:val="00637499"/>
    <w:rsid w:val="00644B73"/>
    <w:rsid w:val="006460DD"/>
    <w:rsid w:val="00660578"/>
    <w:rsid w:val="00660B16"/>
    <w:rsid w:val="00661ACD"/>
    <w:rsid w:val="0066223D"/>
    <w:rsid w:val="0066353D"/>
    <w:rsid w:val="006645EF"/>
    <w:rsid w:val="006652BC"/>
    <w:rsid w:val="00674BCC"/>
    <w:rsid w:val="006764F9"/>
    <w:rsid w:val="00677B85"/>
    <w:rsid w:val="00686514"/>
    <w:rsid w:val="00686939"/>
    <w:rsid w:val="00687EFC"/>
    <w:rsid w:val="0069280F"/>
    <w:rsid w:val="0069423C"/>
    <w:rsid w:val="006A1FC4"/>
    <w:rsid w:val="006A6F36"/>
    <w:rsid w:val="006A7431"/>
    <w:rsid w:val="006B610D"/>
    <w:rsid w:val="006B6C1D"/>
    <w:rsid w:val="006B6F0F"/>
    <w:rsid w:val="006C1CD4"/>
    <w:rsid w:val="006C2731"/>
    <w:rsid w:val="006C5EAD"/>
    <w:rsid w:val="006C6199"/>
    <w:rsid w:val="006D1BDB"/>
    <w:rsid w:val="006D7769"/>
    <w:rsid w:val="006E3E4A"/>
    <w:rsid w:val="006E6B88"/>
    <w:rsid w:val="006E71D0"/>
    <w:rsid w:val="006F14B8"/>
    <w:rsid w:val="006F2812"/>
    <w:rsid w:val="00700B7A"/>
    <w:rsid w:val="00701C12"/>
    <w:rsid w:val="00704382"/>
    <w:rsid w:val="00706DEE"/>
    <w:rsid w:val="00707A5C"/>
    <w:rsid w:val="007136AA"/>
    <w:rsid w:val="007146AD"/>
    <w:rsid w:val="00715D2A"/>
    <w:rsid w:val="00715D5A"/>
    <w:rsid w:val="00722221"/>
    <w:rsid w:val="007274A8"/>
    <w:rsid w:val="00727DB2"/>
    <w:rsid w:val="0073071E"/>
    <w:rsid w:val="007311D5"/>
    <w:rsid w:val="00732040"/>
    <w:rsid w:val="007364EF"/>
    <w:rsid w:val="007364FD"/>
    <w:rsid w:val="00737A20"/>
    <w:rsid w:val="007407C4"/>
    <w:rsid w:val="007430BF"/>
    <w:rsid w:val="00745AEA"/>
    <w:rsid w:val="0074746A"/>
    <w:rsid w:val="00751792"/>
    <w:rsid w:val="007540B0"/>
    <w:rsid w:val="00757389"/>
    <w:rsid w:val="007615DA"/>
    <w:rsid w:val="00763352"/>
    <w:rsid w:val="00765C25"/>
    <w:rsid w:val="0077273E"/>
    <w:rsid w:val="00777CCD"/>
    <w:rsid w:val="00780182"/>
    <w:rsid w:val="00781386"/>
    <w:rsid w:val="00786B80"/>
    <w:rsid w:val="00791879"/>
    <w:rsid w:val="0079390C"/>
    <w:rsid w:val="00793B2E"/>
    <w:rsid w:val="007945E4"/>
    <w:rsid w:val="00796D26"/>
    <w:rsid w:val="007A0C58"/>
    <w:rsid w:val="007A2354"/>
    <w:rsid w:val="007A2E82"/>
    <w:rsid w:val="007B1D30"/>
    <w:rsid w:val="007B6F59"/>
    <w:rsid w:val="007C2080"/>
    <w:rsid w:val="007C4927"/>
    <w:rsid w:val="007C4A04"/>
    <w:rsid w:val="007C4E79"/>
    <w:rsid w:val="007D0738"/>
    <w:rsid w:val="007D753A"/>
    <w:rsid w:val="007E00D4"/>
    <w:rsid w:val="007E26F9"/>
    <w:rsid w:val="007E3089"/>
    <w:rsid w:val="007E49DD"/>
    <w:rsid w:val="007E500C"/>
    <w:rsid w:val="007F25D5"/>
    <w:rsid w:val="007F69EF"/>
    <w:rsid w:val="007F747A"/>
    <w:rsid w:val="00814484"/>
    <w:rsid w:val="00821A84"/>
    <w:rsid w:val="00822372"/>
    <w:rsid w:val="008268B4"/>
    <w:rsid w:val="00826E01"/>
    <w:rsid w:val="008417B1"/>
    <w:rsid w:val="008428C1"/>
    <w:rsid w:val="00843615"/>
    <w:rsid w:val="00844015"/>
    <w:rsid w:val="00846D02"/>
    <w:rsid w:val="0084742D"/>
    <w:rsid w:val="008502D5"/>
    <w:rsid w:val="00852094"/>
    <w:rsid w:val="00856DEB"/>
    <w:rsid w:val="00857789"/>
    <w:rsid w:val="008628BD"/>
    <w:rsid w:val="00864BCE"/>
    <w:rsid w:val="00865004"/>
    <w:rsid w:val="00866F23"/>
    <w:rsid w:val="00866F5D"/>
    <w:rsid w:val="0086790E"/>
    <w:rsid w:val="00867E57"/>
    <w:rsid w:val="00876130"/>
    <w:rsid w:val="008771D3"/>
    <w:rsid w:val="00877488"/>
    <w:rsid w:val="00880C77"/>
    <w:rsid w:val="00883C3E"/>
    <w:rsid w:val="00884000"/>
    <w:rsid w:val="00884F02"/>
    <w:rsid w:val="0089154E"/>
    <w:rsid w:val="00893434"/>
    <w:rsid w:val="00894BB1"/>
    <w:rsid w:val="0089612A"/>
    <w:rsid w:val="008A105F"/>
    <w:rsid w:val="008A45D4"/>
    <w:rsid w:val="008B0962"/>
    <w:rsid w:val="008B1657"/>
    <w:rsid w:val="008B1A5F"/>
    <w:rsid w:val="008B25B2"/>
    <w:rsid w:val="008B2C99"/>
    <w:rsid w:val="008B46E7"/>
    <w:rsid w:val="008B4C0B"/>
    <w:rsid w:val="008B5926"/>
    <w:rsid w:val="008C1350"/>
    <w:rsid w:val="008C1D0F"/>
    <w:rsid w:val="008D0DB9"/>
    <w:rsid w:val="008E004D"/>
    <w:rsid w:val="008E08EC"/>
    <w:rsid w:val="008E38B7"/>
    <w:rsid w:val="008E7A83"/>
    <w:rsid w:val="008F01AF"/>
    <w:rsid w:val="008F28CF"/>
    <w:rsid w:val="008F3702"/>
    <w:rsid w:val="008F419D"/>
    <w:rsid w:val="008F7CF7"/>
    <w:rsid w:val="008F7E04"/>
    <w:rsid w:val="00901C29"/>
    <w:rsid w:val="00913F02"/>
    <w:rsid w:val="0092289E"/>
    <w:rsid w:val="00931080"/>
    <w:rsid w:val="00931249"/>
    <w:rsid w:val="009323AF"/>
    <w:rsid w:val="00933A8A"/>
    <w:rsid w:val="00933FDE"/>
    <w:rsid w:val="00936206"/>
    <w:rsid w:val="009374C4"/>
    <w:rsid w:val="0093777D"/>
    <w:rsid w:val="00946227"/>
    <w:rsid w:val="00946B89"/>
    <w:rsid w:val="00952C1A"/>
    <w:rsid w:val="00953287"/>
    <w:rsid w:val="00953D82"/>
    <w:rsid w:val="00954AAB"/>
    <w:rsid w:val="00957687"/>
    <w:rsid w:val="0095795C"/>
    <w:rsid w:val="00960074"/>
    <w:rsid w:val="00960B07"/>
    <w:rsid w:val="00963060"/>
    <w:rsid w:val="0096711C"/>
    <w:rsid w:val="0097136C"/>
    <w:rsid w:val="009716FB"/>
    <w:rsid w:val="00973E86"/>
    <w:rsid w:val="00977B70"/>
    <w:rsid w:val="00980C30"/>
    <w:rsid w:val="00991B9C"/>
    <w:rsid w:val="0099554B"/>
    <w:rsid w:val="00996284"/>
    <w:rsid w:val="00996938"/>
    <w:rsid w:val="009972C7"/>
    <w:rsid w:val="009976D4"/>
    <w:rsid w:val="009A1608"/>
    <w:rsid w:val="009A24F4"/>
    <w:rsid w:val="009A3E7A"/>
    <w:rsid w:val="009A4686"/>
    <w:rsid w:val="009B0C0C"/>
    <w:rsid w:val="009B27AC"/>
    <w:rsid w:val="009B3604"/>
    <w:rsid w:val="009B4D64"/>
    <w:rsid w:val="009B57C7"/>
    <w:rsid w:val="009B6C1F"/>
    <w:rsid w:val="009C0A86"/>
    <w:rsid w:val="009C0AA6"/>
    <w:rsid w:val="009C7286"/>
    <w:rsid w:val="009D0F10"/>
    <w:rsid w:val="009D2BD0"/>
    <w:rsid w:val="009D304B"/>
    <w:rsid w:val="009D3B0D"/>
    <w:rsid w:val="009D5598"/>
    <w:rsid w:val="009D6DFC"/>
    <w:rsid w:val="009D78ED"/>
    <w:rsid w:val="009E2628"/>
    <w:rsid w:val="009E3803"/>
    <w:rsid w:val="009E3A41"/>
    <w:rsid w:val="009E3E55"/>
    <w:rsid w:val="009E5760"/>
    <w:rsid w:val="009E5D96"/>
    <w:rsid w:val="009E6E0E"/>
    <w:rsid w:val="009F11C5"/>
    <w:rsid w:val="009F1670"/>
    <w:rsid w:val="009F272A"/>
    <w:rsid w:val="009F2F8B"/>
    <w:rsid w:val="009F4A17"/>
    <w:rsid w:val="009F4AAE"/>
    <w:rsid w:val="009F7304"/>
    <w:rsid w:val="00A01594"/>
    <w:rsid w:val="00A0293E"/>
    <w:rsid w:val="00A02B96"/>
    <w:rsid w:val="00A03B38"/>
    <w:rsid w:val="00A03E3C"/>
    <w:rsid w:val="00A11039"/>
    <w:rsid w:val="00A116A2"/>
    <w:rsid w:val="00A20960"/>
    <w:rsid w:val="00A24252"/>
    <w:rsid w:val="00A2656D"/>
    <w:rsid w:val="00A3311D"/>
    <w:rsid w:val="00A33EC8"/>
    <w:rsid w:val="00A4013F"/>
    <w:rsid w:val="00A403BA"/>
    <w:rsid w:val="00A4272A"/>
    <w:rsid w:val="00A469CE"/>
    <w:rsid w:val="00A47896"/>
    <w:rsid w:val="00A50502"/>
    <w:rsid w:val="00A508C6"/>
    <w:rsid w:val="00A52E67"/>
    <w:rsid w:val="00A541F3"/>
    <w:rsid w:val="00A556D8"/>
    <w:rsid w:val="00A57933"/>
    <w:rsid w:val="00A6015B"/>
    <w:rsid w:val="00A62C2D"/>
    <w:rsid w:val="00A66D62"/>
    <w:rsid w:val="00A70AF0"/>
    <w:rsid w:val="00A70CC9"/>
    <w:rsid w:val="00A763A0"/>
    <w:rsid w:val="00A76FB3"/>
    <w:rsid w:val="00A8090A"/>
    <w:rsid w:val="00A83355"/>
    <w:rsid w:val="00A86348"/>
    <w:rsid w:val="00A86FDB"/>
    <w:rsid w:val="00A87B36"/>
    <w:rsid w:val="00A90868"/>
    <w:rsid w:val="00A91FAB"/>
    <w:rsid w:val="00A94DB1"/>
    <w:rsid w:val="00A95BED"/>
    <w:rsid w:val="00A97F36"/>
    <w:rsid w:val="00AA081D"/>
    <w:rsid w:val="00AA4DF8"/>
    <w:rsid w:val="00AA6BDD"/>
    <w:rsid w:val="00AB056D"/>
    <w:rsid w:val="00AB1268"/>
    <w:rsid w:val="00AB65EA"/>
    <w:rsid w:val="00AC29B1"/>
    <w:rsid w:val="00AC5A80"/>
    <w:rsid w:val="00AD177D"/>
    <w:rsid w:val="00AD37FC"/>
    <w:rsid w:val="00AD7C55"/>
    <w:rsid w:val="00AE2414"/>
    <w:rsid w:val="00AE58C8"/>
    <w:rsid w:val="00AE6BFE"/>
    <w:rsid w:val="00AF1EE1"/>
    <w:rsid w:val="00AF3CE8"/>
    <w:rsid w:val="00AF3ED7"/>
    <w:rsid w:val="00AF4D8F"/>
    <w:rsid w:val="00AF67FB"/>
    <w:rsid w:val="00B00869"/>
    <w:rsid w:val="00B029E1"/>
    <w:rsid w:val="00B02A6F"/>
    <w:rsid w:val="00B04AE7"/>
    <w:rsid w:val="00B07425"/>
    <w:rsid w:val="00B07E5D"/>
    <w:rsid w:val="00B11CAE"/>
    <w:rsid w:val="00B1627F"/>
    <w:rsid w:val="00B26782"/>
    <w:rsid w:val="00B274A8"/>
    <w:rsid w:val="00B27816"/>
    <w:rsid w:val="00B30352"/>
    <w:rsid w:val="00B40CDE"/>
    <w:rsid w:val="00B459A0"/>
    <w:rsid w:val="00B45D6C"/>
    <w:rsid w:val="00B52A8C"/>
    <w:rsid w:val="00B52F23"/>
    <w:rsid w:val="00B652DC"/>
    <w:rsid w:val="00B65381"/>
    <w:rsid w:val="00B66647"/>
    <w:rsid w:val="00B6685F"/>
    <w:rsid w:val="00B668FB"/>
    <w:rsid w:val="00B714B9"/>
    <w:rsid w:val="00B72AEE"/>
    <w:rsid w:val="00B72B2F"/>
    <w:rsid w:val="00B769D5"/>
    <w:rsid w:val="00B76ED0"/>
    <w:rsid w:val="00B777F2"/>
    <w:rsid w:val="00B8104F"/>
    <w:rsid w:val="00B84E0D"/>
    <w:rsid w:val="00B92884"/>
    <w:rsid w:val="00B94289"/>
    <w:rsid w:val="00B95D98"/>
    <w:rsid w:val="00BA14CF"/>
    <w:rsid w:val="00BA215A"/>
    <w:rsid w:val="00BA2197"/>
    <w:rsid w:val="00BA3567"/>
    <w:rsid w:val="00BA4F66"/>
    <w:rsid w:val="00BA5400"/>
    <w:rsid w:val="00BA5F89"/>
    <w:rsid w:val="00BB27AD"/>
    <w:rsid w:val="00BB44E0"/>
    <w:rsid w:val="00BB4845"/>
    <w:rsid w:val="00BB506E"/>
    <w:rsid w:val="00BB7D2E"/>
    <w:rsid w:val="00BC4D77"/>
    <w:rsid w:val="00BD1E07"/>
    <w:rsid w:val="00BD622E"/>
    <w:rsid w:val="00BE05FE"/>
    <w:rsid w:val="00BE241B"/>
    <w:rsid w:val="00BE780B"/>
    <w:rsid w:val="00BF4669"/>
    <w:rsid w:val="00BF5670"/>
    <w:rsid w:val="00C01200"/>
    <w:rsid w:val="00C2197C"/>
    <w:rsid w:val="00C24B8A"/>
    <w:rsid w:val="00C27F54"/>
    <w:rsid w:val="00C31CA5"/>
    <w:rsid w:val="00C373BA"/>
    <w:rsid w:val="00C37886"/>
    <w:rsid w:val="00C418F0"/>
    <w:rsid w:val="00C41BA1"/>
    <w:rsid w:val="00C43358"/>
    <w:rsid w:val="00C44806"/>
    <w:rsid w:val="00C5020B"/>
    <w:rsid w:val="00C56613"/>
    <w:rsid w:val="00C56A20"/>
    <w:rsid w:val="00C57C34"/>
    <w:rsid w:val="00C61661"/>
    <w:rsid w:val="00C6481B"/>
    <w:rsid w:val="00C66F91"/>
    <w:rsid w:val="00C7029A"/>
    <w:rsid w:val="00C70C73"/>
    <w:rsid w:val="00C75E53"/>
    <w:rsid w:val="00C77AD1"/>
    <w:rsid w:val="00C8151F"/>
    <w:rsid w:val="00C83B67"/>
    <w:rsid w:val="00C84CFB"/>
    <w:rsid w:val="00C85190"/>
    <w:rsid w:val="00C85913"/>
    <w:rsid w:val="00C86F55"/>
    <w:rsid w:val="00C952B2"/>
    <w:rsid w:val="00C95356"/>
    <w:rsid w:val="00C9640E"/>
    <w:rsid w:val="00C969B0"/>
    <w:rsid w:val="00C96C08"/>
    <w:rsid w:val="00CA001A"/>
    <w:rsid w:val="00CA0D6F"/>
    <w:rsid w:val="00CA169B"/>
    <w:rsid w:val="00CA3884"/>
    <w:rsid w:val="00CA3F96"/>
    <w:rsid w:val="00CB29D5"/>
    <w:rsid w:val="00CB6795"/>
    <w:rsid w:val="00CB7352"/>
    <w:rsid w:val="00CC0FBD"/>
    <w:rsid w:val="00CD1B29"/>
    <w:rsid w:val="00CD4ACC"/>
    <w:rsid w:val="00CD5AE8"/>
    <w:rsid w:val="00CE4107"/>
    <w:rsid w:val="00CE7E08"/>
    <w:rsid w:val="00CF073F"/>
    <w:rsid w:val="00CF4E4B"/>
    <w:rsid w:val="00CF4E90"/>
    <w:rsid w:val="00D02C03"/>
    <w:rsid w:val="00D04217"/>
    <w:rsid w:val="00D04504"/>
    <w:rsid w:val="00D046AF"/>
    <w:rsid w:val="00D06529"/>
    <w:rsid w:val="00D1435A"/>
    <w:rsid w:val="00D15398"/>
    <w:rsid w:val="00D15E4D"/>
    <w:rsid w:val="00D207A3"/>
    <w:rsid w:val="00D2732F"/>
    <w:rsid w:val="00D3251E"/>
    <w:rsid w:val="00D442C4"/>
    <w:rsid w:val="00D45972"/>
    <w:rsid w:val="00D476A2"/>
    <w:rsid w:val="00D5050F"/>
    <w:rsid w:val="00D5243A"/>
    <w:rsid w:val="00D5332E"/>
    <w:rsid w:val="00D5563D"/>
    <w:rsid w:val="00D563A1"/>
    <w:rsid w:val="00D57AE2"/>
    <w:rsid w:val="00D60535"/>
    <w:rsid w:val="00D60D05"/>
    <w:rsid w:val="00D61097"/>
    <w:rsid w:val="00D6334C"/>
    <w:rsid w:val="00D641C3"/>
    <w:rsid w:val="00D6517D"/>
    <w:rsid w:val="00D655DF"/>
    <w:rsid w:val="00D65A78"/>
    <w:rsid w:val="00D70658"/>
    <w:rsid w:val="00D71588"/>
    <w:rsid w:val="00D73B89"/>
    <w:rsid w:val="00D7449D"/>
    <w:rsid w:val="00D76B29"/>
    <w:rsid w:val="00D77851"/>
    <w:rsid w:val="00D77B50"/>
    <w:rsid w:val="00D82D38"/>
    <w:rsid w:val="00D82EDB"/>
    <w:rsid w:val="00D968CF"/>
    <w:rsid w:val="00DA0748"/>
    <w:rsid w:val="00DA0DCB"/>
    <w:rsid w:val="00DA10E9"/>
    <w:rsid w:val="00DA1F82"/>
    <w:rsid w:val="00DA2D15"/>
    <w:rsid w:val="00DA5B16"/>
    <w:rsid w:val="00DB3E18"/>
    <w:rsid w:val="00DB4A5B"/>
    <w:rsid w:val="00DC0D65"/>
    <w:rsid w:val="00DC4B0A"/>
    <w:rsid w:val="00DD6B26"/>
    <w:rsid w:val="00DE1DF1"/>
    <w:rsid w:val="00DE2B70"/>
    <w:rsid w:val="00DE3C67"/>
    <w:rsid w:val="00DE6037"/>
    <w:rsid w:val="00DE622E"/>
    <w:rsid w:val="00DF010F"/>
    <w:rsid w:val="00DF035D"/>
    <w:rsid w:val="00DF3B4C"/>
    <w:rsid w:val="00DF41FD"/>
    <w:rsid w:val="00DF538E"/>
    <w:rsid w:val="00E01D55"/>
    <w:rsid w:val="00E03901"/>
    <w:rsid w:val="00E10B00"/>
    <w:rsid w:val="00E1317B"/>
    <w:rsid w:val="00E14D73"/>
    <w:rsid w:val="00E15A86"/>
    <w:rsid w:val="00E21F09"/>
    <w:rsid w:val="00E241AC"/>
    <w:rsid w:val="00E31439"/>
    <w:rsid w:val="00E318A2"/>
    <w:rsid w:val="00E32BBC"/>
    <w:rsid w:val="00E35364"/>
    <w:rsid w:val="00E36646"/>
    <w:rsid w:val="00E40EE4"/>
    <w:rsid w:val="00E41348"/>
    <w:rsid w:val="00E46181"/>
    <w:rsid w:val="00E46495"/>
    <w:rsid w:val="00E46677"/>
    <w:rsid w:val="00E53F66"/>
    <w:rsid w:val="00E61DC1"/>
    <w:rsid w:val="00E655CC"/>
    <w:rsid w:val="00E72372"/>
    <w:rsid w:val="00E76082"/>
    <w:rsid w:val="00E802BB"/>
    <w:rsid w:val="00E80FB8"/>
    <w:rsid w:val="00E877DC"/>
    <w:rsid w:val="00E92176"/>
    <w:rsid w:val="00E92C34"/>
    <w:rsid w:val="00E92F57"/>
    <w:rsid w:val="00EA039E"/>
    <w:rsid w:val="00EA167C"/>
    <w:rsid w:val="00EB14A3"/>
    <w:rsid w:val="00EB2101"/>
    <w:rsid w:val="00EB77B6"/>
    <w:rsid w:val="00EC4496"/>
    <w:rsid w:val="00ED0B13"/>
    <w:rsid w:val="00ED0E8B"/>
    <w:rsid w:val="00ED2AAC"/>
    <w:rsid w:val="00ED632E"/>
    <w:rsid w:val="00ED6930"/>
    <w:rsid w:val="00EE3359"/>
    <w:rsid w:val="00EE6427"/>
    <w:rsid w:val="00EE683D"/>
    <w:rsid w:val="00EE7764"/>
    <w:rsid w:val="00EF1AB0"/>
    <w:rsid w:val="00EF1F23"/>
    <w:rsid w:val="00EF20A2"/>
    <w:rsid w:val="00EF504E"/>
    <w:rsid w:val="00F027B9"/>
    <w:rsid w:val="00F02A44"/>
    <w:rsid w:val="00F0619E"/>
    <w:rsid w:val="00F10590"/>
    <w:rsid w:val="00F21B90"/>
    <w:rsid w:val="00F21C9D"/>
    <w:rsid w:val="00F221D5"/>
    <w:rsid w:val="00F23FC9"/>
    <w:rsid w:val="00F260FA"/>
    <w:rsid w:val="00F2780A"/>
    <w:rsid w:val="00F27855"/>
    <w:rsid w:val="00F3559F"/>
    <w:rsid w:val="00F357E4"/>
    <w:rsid w:val="00F41090"/>
    <w:rsid w:val="00F4190E"/>
    <w:rsid w:val="00F41BA5"/>
    <w:rsid w:val="00F4302A"/>
    <w:rsid w:val="00F47767"/>
    <w:rsid w:val="00F5037E"/>
    <w:rsid w:val="00F5269B"/>
    <w:rsid w:val="00F533BD"/>
    <w:rsid w:val="00F60D11"/>
    <w:rsid w:val="00F6742D"/>
    <w:rsid w:val="00F678FC"/>
    <w:rsid w:val="00F70358"/>
    <w:rsid w:val="00F71835"/>
    <w:rsid w:val="00F73C8F"/>
    <w:rsid w:val="00F7430B"/>
    <w:rsid w:val="00F75262"/>
    <w:rsid w:val="00F7703E"/>
    <w:rsid w:val="00F77136"/>
    <w:rsid w:val="00F86D4D"/>
    <w:rsid w:val="00F9111D"/>
    <w:rsid w:val="00F95DED"/>
    <w:rsid w:val="00F971D1"/>
    <w:rsid w:val="00F973E2"/>
    <w:rsid w:val="00FA14DB"/>
    <w:rsid w:val="00FA1C73"/>
    <w:rsid w:val="00FA2137"/>
    <w:rsid w:val="00FA45A4"/>
    <w:rsid w:val="00FA4F4C"/>
    <w:rsid w:val="00FA6BCF"/>
    <w:rsid w:val="00FB017B"/>
    <w:rsid w:val="00FB1329"/>
    <w:rsid w:val="00FB1B13"/>
    <w:rsid w:val="00FB1C26"/>
    <w:rsid w:val="00FB2D8B"/>
    <w:rsid w:val="00FB324A"/>
    <w:rsid w:val="00FB3B67"/>
    <w:rsid w:val="00FB4063"/>
    <w:rsid w:val="00FC194F"/>
    <w:rsid w:val="00FC4F15"/>
    <w:rsid w:val="00FC527A"/>
    <w:rsid w:val="00FC5C7A"/>
    <w:rsid w:val="00FC5C92"/>
    <w:rsid w:val="00FD0EF3"/>
    <w:rsid w:val="00FD1120"/>
    <w:rsid w:val="00FD291F"/>
    <w:rsid w:val="00FD421B"/>
    <w:rsid w:val="00FD60B9"/>
    <w:rsid w:val="00FE50B4"/>
    <w:rsid w:val="00FE64B1"/>
    <w:rsid w:val="00FF1B78"/>
    <w:rsid w:val="00FF3340"/>
    <w:rsid w:val="00FF35CE"/>
    <w:rsid w:val="00FF3C47"/>
    <w:rsid w:val="00FF5257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E48A7AC"/>
  <w15:docId w15:val="{ADE237CD-2ED2-4E43-A4C3-B9CCC3EE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Funotentext">
    <w:name w:val="footnote text"/>
    <w:rPr>
      <w:rFonts w:ascii="Calibri" w:eastAsia="Calibri" w:hAnsi="Calibri" w:cs="Calibri"/>
      <w:color w:val="000000"/>
      <w:u w:color="000000"/>
      <w:lang w:val="de-DE"/>
    </w:rPr>
  </w:style>
  <w:style w:type="paragraph" w:styleId="Beschriftung">
    <w:name w:val="caption"/>
    <w:next w:val="Standard"/>
    <w:pPr>
      <w:spacing w:after="200"/>
    </w:pPr>
    <w:rPr>
      <w:rFonts w:ascii="Calibri" w:eastAsia="Calibri" w:hAnsi="Calibri" w:cs="Calibri"/>
      <w:b/>
      <w:bCs/>
      <w:color w:val="5B9BD5"/>
      <w:sz w:val="18"/>
      <w:szCs w:val="18"/>
      <w:u w:color="5B9BD5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37E"/>
    <w:pPr>
      <w:spacing w:after="0" w:line="240" w:lineRule="auto"/>
    </w:pPr>
    <w:rPr>
      <w:rFonts w:ascii="Tahoma" w:hAnsi="Tahoma" w:cs="Tahoma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37E"/>
    <w:rPr>
      <w:rFonts w:ascii="Tahoma" w:eastAsia="Calibri" w:hAnsi="Tahoma" w:cs="Tahoma"/>
      <w:color w:val="000000"/>
      <w:sz w:val="16"/>
      <w:szCs w:val="18"/>
      <w:u w:color="000000"/>
    </w:rPr>
  </w:style>
  <w:style w:type="character" w:styleId="Funotenzeichen">
    <w:name w:val="footnote reference"/>
    <w:basedOn w:val="Absatz-Standardschriftart"/>
    <w:uiPriority w:val="99"/>
    <w:semiHidden/>
    <w:unhideWhenUsed/>
    <w:rsid w:val="00445788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E7764"/>
    <w:rPr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38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3803"/>
    <w:rPr>
      <w:rFonts w:ascii="Calibri" w:eastAsia="Calibri" w:hAnsi="Calibri" w:cs="Calibri"/>
      <w:b/>
      <w:bCs/>
      <w:color w:val="000000"/>
      <w:u w:color="000000"/>
    </w:rPr>
  </w:style>
  <w:style w:type="table" w:styleId="Tabellenraster">
    <w:name w:val="Table Grid"/>
    <w:basedOn w:val="NormaleTabelle"/>
    <w:uiPriority w:val="39"/>
    <w:rsid w:val="00952C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Standard"/>
    <w:rsid w:val="00F971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80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0C7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880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0C7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rarbeitung">
    <w:name w:val="Revision"/>
    <w:hidden/>
    <w:uiPriority w:val="99"/>
    <w:semiHidden/>
    <w:rsid w:val="00AF3C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F575-3AB4-4D47-B74A-441F3DF5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1963</Words>
  <Characters>12370</Characters>
  <Application>Microsoft Office Word</Application>
  <DocSecurity>0</DocSecurity>
  <Lines>103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Vanella</dc:creator>
  <cp:lastModifiedBy>Tito Vanella</cp:lastModifiedBy>
  <cp:revision>25</cp:revision>
  <cp:lastPrinted>2018-01-02T11:00:00Z</cp:lastPrinted>
  <dcterms:created xsi:type="dcterms:W3CDTF">2018-01-23T21:45:00Z</dcterms:created>
  <dcterms:modified xsi:type="dcterms:W3CDTF">2018-02-11T20:29:00Z</dcterms:modified>
</cp:coreProperties>
</file>